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3D37" w14:textId="77777777" w:rsidR="000F2896" w:rsidRDefault="001A22D5">
      <w:pPr>
        <w:pStyle w:val="BodyText"/>
        <w:spacing w:before="80" w:line="480" w:lineRule="auto"/>
        <w:ind w:left="3556" w:hanging="2096"/>
      </w:pPr>
      <w:r>
        <w:t>TOWN</w:t>
      </w:r>
      <w:r>
        <w:rPr>
          <w:spacing w:val="-8"/>
        </w:rPr>
        <w:t xml:space="preserve"> </w:t>
      </w:r>
      <w:r>
        <w:t>OF</w:t>
      </w:r>
      <w:r>
        <w:rPr>
          <w:spacing w:val="-9"/>
        </w:rPr>
        <w:t xml:space="preserve"> </w:t>
      </w:r>
      <w:r>
        <w:t>MONTGOMERY</w:t>
      </w:r>
      <w:r>
        <w:rPr>
          <w:spacing w:val="-9"/>
        </w:rPr>
        <w:t xml:space="preserve"> </w:t>
      </w:r>
      <w:r>
        <w:t>INDUSTRIAL</w:t>
      </w:r>
      <w:r>
        <w:rPr>
          <w:spacing w:val="-8"/>
        </w:rPr>
        <w:t xml:space="preserve"> </w:t>
      </w:r>
      <w:r>
        <w:t>DEVELOPMENT</w:t>
      </w:r>
      <w:r>
        <w:rPr>
          <w:spacing w:val="-9"/>
        </w:rPr>
        <w:t xml:space="preserve"> </w:t>
      </w:r>
      <w:r>
        <w:t>AGENCY PROCUREMENT POLICY</w:t>
      </w:r>
    </w:p>
    <w:p w14:paraId="4FF93594" w14:textId="77777777" w:rsidR="000F2896" w:rsidRDefault="000F2896">
      <w:pPr>
        <w:pStyle w:val="BodyText"/>
      </w:pPr>
    </w:p>
    <w:p w14:paraId="26895D5D" w14:textId="77777777" w:rsidR="000F2896" w:rsidRDefault="001A22D5">
      <w:pPr>
        <w:pStyle w:val="BodyText"/>
        <w:ind w:left="119" w:right="218"/>
        <w:jc w:val="both"/>
      </w:pPr>
      <w:r>
        <w:t>SECTION</w:t>
      </w:r>
      <w:r>
        <w:rPr>
          <w:spacing w:val="-3"/>
        </w:rPr>
        <w:t xml:space="preserve"> </w:t>
      </w:r>
      <w:r>
        <w:t>1.</w:t>
      </w:r>
      <w:r>
        <w:rPr>
          <w:spacing w:val="80"/>
        </w:rPr>
        <w:t xml:space="preserve">  </w:t>
      </w:r>
      <w:r>
        <w:t>PURPOSE</w:t>
      </w:r>
      <w:r>
        <w:rPr>
          <w:spacing w:val="15"/>
        </w:rPr>
        <w:t xml:space="preserve"> </w:t>
      </w:r>
      <w:r>
        <w:t>AND</w:t>
      </w:r>
      <w:r>
        <w:rPr>
          <w:spacing w:val="15"/>
        </w:rPr>
        <w:t xml:space="preserve"> </w:t>
      </w:r>
      <w:r>
        <w:t>AUTHORITY.</w:t>
      </w:r>
      <w:r>
        <w:rPr>
          <w:spacing w:val="40"/>
        </w:rPr>
        <w:t xml:space="preserve"> </w:t>
      </w:r>
      <w:r>
        <w:t>The</w:t>
      </w:r>
      <w:r>
        <w:rPr>
          <w:spacing w:val="15"/>
        </w:rPr>
        <w:t xml:space="preserve"> </w:t>
      </w:r>
      <w:r>
        <w:t>purpose</w:t>
      </w:r>
      <w:r>
        <w:rPr>
          <w:spacing w:val="15"/>
        </w:rPr>
        <w:t xml:space="preserve"> </w:t>
      </w:r>
      <w:r>
        <w:t>of</w:t>
      </w:r>
      <w:r>
        <w:rPr>
          <w:spacing w:val="15"/>
        </w:rPr>
        <w:t xml:space="preserve"> </w:t>
      </w:r>
      <w:r>
        <w:t>this</w:t>
      </w:r>
      <w:r>
        <w:rPr>
          <w:spacing w:val="15"/>
        </w:rPr>
        <w:t xml:space="preserve"> </w:t>
      </w:r>
      <w:r>
        <w:t>procurement</w:t>
      </w:r>
      <w:r>
        <w:rPr>
          <w:spacing w:val="15"/>
        </w:rPr>
        <w:t xml:space="preserve"> </w:t>
      </w:r>
      <w:r>
        <w:t>policy</w:t>
      </w:r>
      <w:r>
        <w:rPr>
          <w:spacing w:val="15"/>
        </w:rPr>
        <w:t xml:space="preserve"> </w:t>
      </w:r>
      <w:r>
        <w:t>(the</w:t>
      </w:r>
      <w:r>
        <w:rPr>
          <w:spacing w:val="15"/>
        </w:rPr>
        <w:t xml:space="preserve"> </w:t>
      </w:r>
      <w:r>
        <w:t>“Policy”) is to outline the procurement policy of Town of Montgomery Industrial Development Agency (the “Agency”) pursuant to Section 858-a(2) of Title One of Article 18-A of the General Municipal Law applicable to procurements of goods and services paid f</w:t>
      </w:r>
      <w:r>
        <w:t>or by the Agency for its own use and benefit.</w:t>
      </w:r>
    </w:p>
    <w:p w14:paraId="7ECF7027" w14:textId="77777777" w:rsidR="000F2896" w:rsidRDefault="000F2896">
      <w:pPr>
        <w:pStyle w:val="BodyText"/>
        <w:spacing w:before="11"/>
        <w:rPr>
          <w:sz w:val="21"/>
        </w:rPr>
      </w:pPr>
    </w:p>
    <w:p w14:paraId="770E9149" w14:textId="77777777" w:rsidR="000F2896" w:rsidRDefault="001A22D5">
      <w:pPr>
        <w:pStyle w:val="BodyText"/>
        <w:ind w:left="119" w:right="217"/>
        <w:jc w:val="both"/>
      </w:pPr>
      <w:r>
        <w:t>SECTION</w:t>
      </w:r>
      <w:r>
        <w:rPr>
          <w:spacing w:val="-3"/>
        </w:rPr>
        <w:t xml:space="preserve"> </w:t>
      </w:r>
      <w:r>
        <w:t>2.</w:t>
      </w:r>
      <w:r>
        <w:rPr>
          <w:spacing w:val="80"/>
        </w:rPr>
        <w:t xml:space="preserve">  </w:t>
      </w:r>
      <w:r>
        <w:t>SECURING</w:t>
      </w:r>
      <w:r>
        <w:rPr>
          <w:spacing w:val="16"/>
        </w:rPr>
        <w:t xml:space="preserve"> </w:t>
      </w:r>
      <w:r>
        <w:t>GOODS</w:t>
      </w:r>
      <w:r>
        <w:rPr>
          <w:spacing w:val="17"/>
        </w:rPr>
        <w:t xml:space="preserve"> </w:t>
      </w:r>
      <w:r>
        <w:t>AND</w:t>
      </w:r>
      <w:r>
        <w:rPr>
          <w:spacing w:val="16"/>
        </w:rPr>
        <w:t xml:space="preserve"> </w:t>
      </w:r>
      <w:r>
        <w:t>SERVICES.</w:t>
      </w:r>
      <w:r>
        <w:rPr>
          <w:spacing w:val="40"/>
        </w:rPr>
        <w:t xml:space="preserve"> </w:t>
      </w:r>
      <w:r>
        <w:t>All</w:t>
      </w:r>
      <w:r>
        <w:rPr>
          <w:spacing w:val="16"/>
        </w:rPr>
        <w:t xml:space="preserve"> </w:t>
      </w:r>
      <w:r>
        <w:t>goods</w:t>
      </w:r>
      <w:r>
        <w:rPr>
          <w:spacing w:val="16"/>
        </w:rPr>
        <w:t xml:space="preserve"> </w:t>
      </w:r>
      <w:r>
        <w:t>and</w:t>
      </w:r>
      <w:r>
        <w:rPr>
          <w:spacing w:val="16"/>
        </w:rPr>
        <w:t xml:space="preserve"> </w:t>
      </w:r>
      <w:r>
        <w:t>services</w:t>
      </w:r>
      <w:r>
        <w:rPr>
          <w:spacing w:val="16"/>
        </w:rPr>
        <w:t xml:space="preserve"> </w:t>
      </w:r>
      <w:r>
        <w:t>will</w:t>
      </w:r>
      <w:r>
        <w:rPr>
          <w:spacing w:val="16"/>
        </w:rPr>
        <w:t xml:space="preserve"> </w:t>
      </w:r>
      <w:r>
        <w:t>be</w:t>
      </w:r>
      <w:r>
        <w:rPr>
          <w:spacing w:val="16"/>
        </w:rPr>
        <w:t xml:space="preserve"> </w:t>
      </w:r>
      <w:r>
        <w:t>secured</w:t>
      </w:r>
      <w:r>
        <w:rPr>
          <w:spacing w:val="16"/>
        </w:rPr>
        <w:t xml:space="preserve"> </w:t>
      </w:r>
      <w:r>
        <w:t>by</w:t>
      </w:r>
      <w:r>
        <w:rPr>
          <w:spacing w:val="16"/>
        </w:rPr>
        <w:t xml:space="preserve"> </w:t>
      </w:r>
      <w:r>
        <w:t>use of written requests for proposals, written quotations, verbal quotations, or any other method that assures that goods will</w:t>
      </w:r>
      <w:r>
        <w:t xml:space="preserve"> be purchased at the lowest price and that favoritism will be avoided, except in the following circumstances: purchases costing less than $250; goods purchased from agencies for the blind or severely handicapped pursuant to Section 175-b of the State Finan</w:t>
      </w:r>
      <w:r>
        <w:t>ce Law; goods purchased from correctional institutions pursuant to Section 186 of the Correction Law; purchases under State contracts pursuant to Section 104 of the General Municipal Law; purchases under county contracts pursuant to Section 103(3) of the G</w:t>
      </w:r>
      <w:r>
        <w:t>eneral Municipal Law; or purchases pursuant to Section 4 of this Policy.</w:t>
      </w:r>
    </w:p>
    <w:p w14:paraId="04E886F3" w14:textId="77777777" w:rsidR="000F2896" w:rsidRDefault="000F2896">
      <w:pPr>
        <w:pStyle w:val="BodyText"/>
      </w:pPr>
    </w:p>
    <w:p w14:paraId="678DBB44" w14:textId="77777777" w:rsidR="000F2896" w:rsidRDefault="001A22D5">
      <w:pPr>
        <w:pStyle w:val="BodyText"/>
        <w:ind w:left="119"/>
        <w:jc w:val="both"/>
      </w:pPr>
      <w:r>
        <w:t>SECTION</w:t>
      </w:r>
      <w:r>
        <w:rPr>
          <w:spacing w:val="-5"/>
        </w:rPr>
        <w:t xml:space="preserve"> </w:t>
      </w:r>
      <w:r>
        <w:t>3.</w:t>
      </w:r>
      <w:r>
        <w:rPr>
          <w:spacing w:val="59"/>
          <w:w w:val="150"/>
        </w:rPr>
        <w:t xml:space="preserve">  </w:t>
      </w:r>
      <w:r>
        <w:t>METHOD</w:t>
      </w:r>
      <w:r>
        <w:rPr>
          <w:spacing w:val="-2"/>
        </w:rPr>
        <w:t xml:space="preserve"> </w:t>
      </w:r>
      <w:r>
        <w:t>OF</w:t>
      </w:r>
      <w:r>
        <w:rPr>
          <w:spacing w:val="-2"/>
        </w:rPr>
        <w:t xml:space="preserve"> PURCHASE.</w:t>
      </w:r>
    </w:p>
    <w:p w14:paraId="4356193D" w14:textId="77777777" w:rsidR="000F2896" w:rsidRDefault="000F2896">
      <w:pPr>
        <w:pStyle w:val="BodyText"/>
      </w:pPr>
    </w:p>
    <w:p w14:paraId="59130476" w14:textId="77777777" w:rsidR="000F2896" w:rsidRDefault="001A22D5">
      <w:pPr>
        <w:pStyle w:val="ListParagraph"/>
        <w:numPr>
          <w:ilvl w:val="0"/>
          <w:numId w:val="3"/>
        </w:numPr>
        <w:tabs>
          <w:tab w:val="left" w:pos="1559"/>
          <w:tab w:val="left" w:pos="1560"/>
        </w:tabs>
        <w:ind w:right="218" w:firstLine="719"/>
      </w:pPr>
      <w:r>
        <w:rPr>
          <w:u w:val="single"/>
        </w:rPr>
        <w:t>General</w:t>
      </w:r>
      <w:r>
        <w:t>.</w:t>
      </w:r>
      <w:r>
        <w:rPr>
          <w:spacing w:val="40"/>
        </w:rPr>
        <w:t xml:space="preserve"> </w:t>
      </w:r>
      <w:r>
        <w:t xml:space="preserve">The following method of purchase will be used when required by this policy </w:t>
      </w:r>
      <w:proofErr w:type="gramStart"/>
      <w:r>
        <w:t>in order to</w:t>
      </w:r>
      <w:proofErr w:type="gramEnd"/>
      <w:r>
        <w:t xml:space="preserve"> achieve the highest savings:</w:t>
      </w:r>
    </w:p>
    <w:p w14:paraId="499F11C3" w14:textId="77777777" w:rsidR="000F2896" w:rsidRDefault="000F2896">
      <w:pPr>
        <w:pStyle w:val="BodyText"/>
      </w:pPr>
    </w:p>
    <w:p w14:paraId="76793915" w14:textId="77777777" w:rsidR="000F2896" w:rsidRDefault="001A22D5">
      <w:pPr>
        <w:pStyle w:val="ListParagraph"/>
        <w:numPr>
          <w:ilvl w:val="1"/>
          <w:numId w:val="3"/>
        </w:numPr>
        <w:tabs>
          <w:tab w:val="left" w:pos="2280"/>
        </w:tabs>
        <w:ind w:firstLine="720"/>
        <w:jc w:val="both"/>
      </w:pPr>
      <w:r>
        <w:rPr>
          <w:u w:val="single"/>
        </w:rPr>
        <w:t>Small</w:t>
      </w:r>
      <w:r>
        <w:rPr>
          <w:spacing w:val="-4"/>
          <w:u w:val="single"/>
        </w:rPr>
        <w:t xml:space="preserve"> </w:t>
      </w:r>
      <w:r>
        <w:rPr>
          <w:u w:val="single"/>
        </w:rPr>
        <w:t>purchases</w:t>
      </w:r>
      <w:r>
        <w:rPr>
          <w:spacing w:val="-4"/>
          <w:u w:val="single"/>
        </w:rPr>
        <w:t xml:space="preserve"> </w:t>
      </w:r>
      <w:r>
        <w:rPr>
          <w:u w:val="single"/>
        </w:rPr>
        <w:t>(up</w:t>
      </w:r>
      <w:r>
        <w:rPr>
          <w:spacing w:val="-4"/>
          <w:u w:val="single"/>
        </w:rPr>
        <w:t xml:space="preserve"> </w:t>
      </w:r>
      <w:r>
        <w:rPr>
          <w:u w:val="single"/>
        </w:rPr>
        <w:t>to</w:t>
      </w:r>
      <w:r>
        <w:rPr>
          <w:spacing w:val="-4"/>
          <w:u w:val="single"/>
        </w:rPr>
        <w:t xml:space="preserve"> </w:t>
      </w:r>
      <w:r>
        <w:rPr>
          <w:u w:val="single"/>
        </w:rPr>
        <w:t>$1,000)</w:t>
      </w:r>
      <w:r>
        <w:rPr>
          <w:spacing w:val="-4"/>
          <w:u w:val="single"/>
        </w:rPr>
        <w:t xml:space="preserve"> </w:t>
      </w:r>
      <w:r>
        <w:rPr>
          <w:u w:val="single"/>
        </w:rPr>
        <w:t>without</w:t>
      </w:r>
      <w:r>
        <w:rPr>
          <w:spacing w:val="-4"/>
          <w:u w:val="single"/>
        </w:rPr>
        <w:t xml:space="preserve"> </w:t>
      </w:r>
      <w:r>
        <w:rPr>
          <w:u w:val="single"/>
        </w:rPr>
        <w:t>prior</w:t>
      </w:r>
      <w:r>
        <w:rPr>
          <w:spacing w:val="-4"/>
          <w:u w:val="single"/>
        </w:rPr>
        <w:t xml:space="preserve"> </w:t>
      </w:r>
      <w:r>
        <w:rPr>
          <w:u w:val="single"/>
        </w:rPr>
        <w:t>Board</w:t>
      </w:r>
      <w:r>
        <w:rPr>
          <w:spacing w:val="-4"/>
          <w:u w:val="single"/>
        </w:rPr>
        <w:t xml:space="preserve"> </w:t>
      </w:r>
      <w:r>
        <w:rPr>
          <w:u w:val="single"/>
        </w:rPr>
        <w:t>approval</w:t>
      </w:r>
      <w:r>
        <w:t>:</w:t>
      </w:r>
      <w:r>
        <w:rPr>
          <w:spacing w:val="-4"/>
        </w:rPr>
        <w:t xml:space="preserve"> </w:t>
      </w:r>
      <w:r>
        <w:t>This</w:t>
      </w:r>
      <w:r>
        <w:rPr>
          <w:spacing w:val="-4"/>
        </w:rPr>
        <w:t xml:space="preserve"> </w:t>
      </w:r>
      <w:r>
        <w:t>method</w:t>
      </w:r>
      <w:r>
        <w:rPr>
          <w:spacing w:val="-4"/>
        </w:rPr>
        <w:t xml:space="preserve"> </w:t>
      </w:r>
      <w:r>
        <w:t>would be used to purchase items needed to carry out the general ad</w:t>
      </w:r>
      <w:r>
        <w:t>ministrative function of the Agency where time doesn’t allow for presentation to the Board. The following items which can be purchased without full Board approval:</w:t>
      </w:r>
    </w:p>
    <w:p w14:paraId="238FD344" w14:textId="77777777" w:rsidR="000F2896" w:rsidRDefault="000F2896">
      <w:pPr>
        <w:pStyle w:val="BodyText"/>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3708"/>
      </w:tblGrid>
      <w:tr w:rsidR="000F2896" w14:paraId="53F31910" w14:textId="77777777">
        <w:trPr>
          <w:trHeight w:val="505"/>
        </w:trPr>
        <w:tc>
          <w:tcPr>
            <w:tcW w:w="5040" w:type="dxa"/>
          </w:tcPr>
          <w:p w14:paraId="5FA89C43" w14:textId="77777777" w:rsidR="000F2896" w:rsidRDefault="001A22D5">
            <w:pPr>
              <w:pStyle w:val="TableParagraph"/>
            </w:pPr>
            <w:r>
              <w:rPr>
                <w:u w:val="single"/>
              </w:rPr>
              <w:t>Estimated</w:t>
            </w:r>
            <w:r>
              <w:rPr>
                <w:spacing w:val="-4"/>
                <w:u w:val="single"/>
              </w:rPr>
              <w:t xml:space="preserve"> </w:t>
            </w:r>
            <w:r>
              <w:rPr>
                <w:u w:val="single"/>
              </w:rPr>
              <w:t>Amount</w:t>
            </w:r>
            <w:r>
              <w:rPr>
                <w:spacing w:val="-3"/>
                <w:u w:val="single"/>
              </w:rPr>
              <w:t xml:space="preserve"> </w:t>
            </w:r>
            <w:r>
              <w:rPr>
                <w:u w:val="single"/>
              </w:rPr>
              <w:t>of</w:t>
            </w:r>
            <w:r>
              <w:rPr>
                <w:spacing w:val="-4"/>
                <w:u w:val="single"/>
              </w:rPr>
              <w:t xml:space="preserve"> </w:t>
            </w:r>
            <w:r>
              <w:rPr>
                <w:u w:val="single"/>
              </w:rPr>
              <w:t>Purchase</w:t>
            </w:r>
            <w:r>
              <w:rPr>
                <w:spacing w:val="-3"/>
                <w:u w:val="single"/>
              </w:rPr>
              <w:t xml:space="preserve"> </w:t>
            </w:r>
            <w:r>
              <w:rPr>
                <w:spacing w:val="-2"/>
                <w:u w:val="single"/>
              </w:rPr>
              <w:t>Contract</w:t>
            </w:r>
          </w:p>
        </w:tc>
        <w:tc>
          <w:tcPr>
            <w:tcW w:w="3708" w:type="dxa"/>
          </w:tcPr>
          <w:p w14:paraId="627F97E5" w14:textId="77777777" w:rsidR="000F2896" w:rsidRDefault="001A22D5">
            <w:pPr>
              <w:pStyle w:val="TableParagraph"/>
            </w:pPr>
            <w:r>
              <w:rPr>
                <w:spacing w:val="-2"/>
                <w:u w:val="single"/>
              </w:rPr>
              <w:t>Method</w:t>
            </w:r>
          </w:p>
        </w:tc>
      </w:tr>
      <w:tr w:rsidR="000F2896" w14:paraId="74F22D42" w14:textId="77777777">
        <w:trPr>
          <w:trHeight w:val="505"/>
        </w:trPr>
        <w:tc>
          <w:tcPr>
            <w:tcW w:w="5040" w:type="dxa"/>
          </w:tcPr>
          <w:p w14:paraId="301551BB" w14:textId="77777777" w:rsidR="000F2896" w:rsidRDefault="001A22D5">
            <w:pPr>
              <w:pStyle w:val="TableParagraph"/>
            </w:pPr>
            <w:r>
              <w:t>Up</w:t>
            </w:r>
            <w:r>
              <w:rPr>
                <w:spacing w:val="-2"/>
              </w:rPr>
              <w:t xml:space="preserve"> </w:t>
            </w:r>
            <w:r>
              <w:t xml:space="preserve">to </w:t>
            </w:r>
            <w:r>
              <w:rPr>
                <w:spacing w:val="-4"/>
              </w:rPr>
              <w:t>$250</w:t>
            </w:r>
          </w:p>
        </w:tc>
        <w:tc>
          <w:tcPr>
            <w:tcW w:w="3708" w:type="dxa"/>
          </w:tcPr>
          <w:p w14:paraId="3CED4162" w14:textId="77777777" w:rsidR="000F2896" w:rsidRDefault="001A22D5">
            <w:pPr>
              <w:pStyle w:val="TableParagraph"/>
            </w:pPr>
            <w:r>
              <w:t>signed</w:t>
            </w:r>
            <w:r>
              <w:rPr>
                <w:spacing w:val="-3"/>
              </w:rPr>
              <w:t xml:space="preserve"> </w:t>
            </w:r>
            <w:r>
              <w:t>purchase</w:t>
            </w:r>
            <w:r>
              <w:rPr>
                <w:spacing w:val="-1"/>
              </w:rPr>
              <w:t xml:space="preserve"> </w:t>
            </w:r>
            <w:r>
              <w:t>order</w:t>
            </w:r>
            <w:r>
              <w:rPr>
                <w:spacing w:val="-1"/>
              </w:rPr>
              <w:t xml:space="preserve"> </w:t>
            </w:r>
            <w:r>
              <w:t>(2</w:t>
            </w:r>
            <w:r>
              <w:rPr>
                <w:spacing w:val="-1"/>
              </w:rPr>
              <w:t xml:space="preserve"> </w:t>
            </w:r>
            <w:r>
              <w:rPr>
                <w:spacing w:val="-2"/>
              </w:rPr>
              <w:t>officers)</w:t>
            </w:r>
          </w:p>
        </w:tc>
      </w:tr>
      <w:tr w:rsidR="000F2896" w14:paraId="7436A620" w14:textId="77777777">
        <w:trPr>
          <w:trHeight w:val="505"/>
        </w:trPr>
        <w:tc>
          <w:tcPr>
            <w:tcW w:w="5040" w:type="dxa"/>
          </w:tcPr>
          <w:p w14:paraId="09BF22F5" w14:textId="77777777" w:rsidR="000F2896" w:rsidRDefault="001A22D5">
            <w:pPr>
              <w:pStyle w:val="TableParagraph"/>
            </w:pPr>
            <w:r>
              <w:t xml:space="preserve">$250 - </w:t>
            </w:r>
            <w:r>
              <w:rPr>
                <w:spacing w:val="-2"/>
              </w:rPr>
              <w:t>$1,000</w:t>
            </w:r>
          </w:p>
        </w:tc>
        <w:tc>
          <w:tcPr>
            <w:tcW w:w="3708" w:type="dxa"/>
          </w:tcPr>
          <w:p w14:paraId="04ACCCBA" w14:textId="77777777" w:rsidR="000F2896" w:rsidRDefault="001A22D5">
            <w:pPr>
              <w:pStyle w:val="TableParagraph"/>
              <w:spacing w:line="250" w:lineRule="atLeast"/>
              <w:ind w:right="127"/>
            </w:pPr>
            <w:r>
              <w:t>signed</w:t>
            </w:r>
            <w:r>
              <w:rPr>
                <w:spacing w:val="-9"/>
              </w:rPr>
              <w:t xml:space="preserve"> </w:t>
            </w:r>
            <w:r>
              <w:t>purchase</w:t>
            </w:r>
            <w:r>
              <w:rPr>
                <w:spacing w:val="-8"/>
              </w:rPr>
              <w:t xml:space="preserve"> </w:t>
            </w:r>
            <w:r>
              <w:t>order</w:t>
            </w:r>
            <w:r>
              <w:rPr>
                <w:spacing w:val="-8"/>
              </w:rPr>
              <w:t xml:space="preserve"> </w:t>
            </w:r>
            <w:r>
              <w:t>(2</w:t>
            </w:r>
            <w:r>
              <w:rPr>
                <w:spacing w:val="-8"/>
              </w:rPr>
              <w:t xml:space="preserve"> </w:t>
            </w:r>
            <w:r>
              <w:t>officers)</w:t>
            </w:r>
            <w:r>
              <w:rPr>
                <w:spacing w:val="-8"/>
              </w:rPr>
              <w:t xml:space="preserve"> </w:t>
            </w:r>
            <w:r>
              <w:t>with 2 quotations attached</w:t>
            </w:r>
          </w:p>
        </w:tc>
      </w:tr>
    </w:tbl>
    <w:p w14:paraId="6F90206B" w14:textId="77777777" w:rsidR="000F2896" w:rsidRDefault="000F2896">
      <w:pPr>
        <w:pStyle w:val="BodyText"/>
        <w:spacing w:before="2"/>
      </w:pPr>
    </w:p>
    <w:p w14:paraId="0738A063" w14:textId="77777777" w:rsidR="000F2896" w:rsidRDefault="001A22D5">
      <w:pPr>
        <w:pStyle w:val="ListParagraph"/>
        <w:numPr>
          <w:ilvl w:val="1"/>
          <w:numId w:val="3"/>
        </w:numPr>
        <w:tabs>
          <w:tab w:val="left" w:pos="2279"/>
          <w:tab w:val="left" w:pos="2280"/>
        </w:tabs>
        <w:spacing w:before="1"/>
        <w:ind w:left="2280" w:right="0"/>
      </w:pPr>
      <w:r>
        <w:rPr>
          <w:u w:val="single"/>
        </w:rPr>
        <w:t>Normal</w:t>
      </w:r>
      <w:r>
        <w:rPr>
          <w:spacing w:val="-3"/>
          <w:u w:val="single"/>
        </w:rPr>
        <w:t xml:space="preserve"> </w:t>
      </w:r>
      <w:r>
        <w:rPr>
          <w:u w:val="single"/>
        </w:rPr>
        <w:t>purchases</w:t>
      </w:r>
      <w:r>
        <w:rPr>
          <w:spacing w:val="-2"/>
          <w:u w:val="single"/>
        </w:rPr>
        <w:t xml:space="preserve"> </w:t>
      </w:r>
      <w:r>
        <w:rPr>
          <w:u w:val="single"/>
        </w:rPr>
        <w:t>with</w:t>
      </w:r>
      <w:r>
        <w:rPr>
          <w:spacing w:val="-2"/>
          <w:u w:val="single"/>
        </w:rPr>
        <w:t xml:space="preserve"> </w:t>
      </w:r>
      <w:r>
        <w:rPr>
          <w:u w:val="single"/>
        </w:rPr>
        <w:t>prior</w:t>
      </w:r>
      <w:r>
        <w:rPr>
          <w:spacing w:val="-2"/>
          <w:u w:val="single"/>
        </w:rPr>
        <w:t xml:space="preserve"> </w:t>
      </w:r>
      <w:r>
        <w:rPr>
          <w:u w:val="single"/>
        </w:rPr>
        <w:t>Board</w:t>
      </w:r>
      <w:r>
        <w:rPr>
          <w:spacing w:val="-1"/>
          <w:u w:val="single"/>
        </w:rPr>
        <w:t xml:space="preserve"> </w:t>
      </w:r>
      <w:r>
        <w:rPr>
          <w:spacing w:val="-2"/>
          <w:u w:val="single"/>
        </w:rPr>
        <w:t>approval</w:t>
      </w:r>
      <w:r>
        <w:rPr>
          <w:spacing w:val="-2"/>
        </w:rPr>
        <w:t>:</w:t>
      </w:r>
    </w:p>
    <w:p w14:paraId="226D9EA7" w14:textId="77777777" w:rsidR="000F2896" w:rsidRDefault="000F2896">
      <w:pPr>
        <w:pStyle w:val="BodyText"/>
        <w:spacing w:before="11"/>
        <w:rPr>
          <w:sz w:val="21"/>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3708"/>
      </w:tblGrid>
      <w:tr w:rsidR="000F2896" w14:paraId="47E7B59C" w14:textId="77777777">
        <w:trPr>
          <w:trHeight w:val="505"/>
        </w:trPr>
        <w:tc>
          <w:tcPr>
            <w:tcW w:w="5040" w:type="dxa"/>
          </w:tcPr>
          <w:p w14:paraId="626C3858" w14:textId="77777777" w:rsidR="000F2896" w:rsidRDefault="001A22D5">
            <w:pPr>
              <w:pStyle w:val="TableParagraph"/>
            </w:pPr>
            <w:r>
              <w:rPr>
                <w:u w:val="single"/>
              </w:rPr>
              <w:t>Estimated</w:t>
            </w:r>
            <w:r>
              <w:rPr>
                <w:spacing w:val="-4"/>
                <w:u w:val="single"/>
              </w:rPr>
              <w:t xml:space="preserve"> </w:t>
            </w:r>
            <w:r>
              <w:rPr>
                <w:u w:val="single"/>
              </w:rPr>
              <w:t>Amount</w:t>
            </w:r>
            <w:r>
              <w:rPr>
                <w:spacing w:val="-3"/>
                <w:u w:val="single"/>
              </w:rPr>
              <w:t xml:space="preserve"> </w:t>
            </w:r>
            <w:r>
              <w:rPr>
                <w:u w:val="single"/>
              </w:rPr>
              <w:t>of</w:t>
            </w:r>
            <w:r>
              <w:rPr>
                <w:spacing w:val="-4"/>
                <w:u w:val="single"/>
              </w:rPr>
              <w:t xml:space="preserve"> </w:t>
            </w:r>
            <w:r>
              <w:rPr>
                <w:u w:val="single"/>
              </w:rPr>
              <w:t>Purchase</w:t>
            </w:r>
            <w:r>
              <w:rPr>
                <w:spacing w:val="-3"/>
                <w:u w:val="single"/>
              </w:rPr>
              <w:t xml:space="preserve"> </w:t>
            </w:r>
            <w:r>
              <w:rPr>
                <w:spacing w:val="-2"/>
                <w:u w:val="single"/>
              </w:rPr>
              <w:t>Contract</w:t>
            </w:r>
          </w:p>
        </w:tc>
        <w:tc>
          <w:tcPr>
            <w:tcW w:w="3708" w:type="dxa"/>
          </w:tcPr>
          <w:p w14:paraId="6CBA7357" w14:textId="77777777" w:rsidR="000F2896" w:rsidRDefault="001A22D5">
            <w:pPr>
              <w:pStyle w:val="TableParagraph"/>
            </w:pPr>
            <w:r>
              <w:rPr>
                <w:spacing w:val="-2"/>
                <w:u w:val="single"/>
              </w:rPr>
              <w:t>Method</w:t>
            </w:r>
          </w:p>
        </w:tc>
      </w:tr>
      <w:tr w:rsidR="000F2896" w14:paraId="7A3D4E09" w14:textId="77777777">
        <w:trPr>
          <w:trHeight w:val="505"/>
        </w:trPr>
        <w:tc>
          <w:tcPr>
            <w:tcW w:w="5040" w:type="dxa"/>
          </w:tcPr>
          <w:p w14:paraId="1F2EF5D2" w14:textId="77777777" w:rsidR="000F2896" w:rsidRDefault="001A22D5">
            <w:pPr>
              <w:pStyle w:val="TableParagraph"/>
            </w:pPr>
            <w:r>
              <w:t>Up</w:t>
            </w:r>
            <w:r>
              <w:rPr>
                <w:spacing w:val="-2"/>
              </w:rPr>
              <w:t xml:space="preserve"> </w:t>
            </w:r>
            <w:r>
              <w:t xml:space="preserve">to </w:t>
            </w:r>
            <w:r>
              <w:rPr>
                <w:spacing w:val="-4"/>
              </w:rPr>
              <w:t>$250</w:t>
            </w:r>
          </w:p>
        </w:tc>
        <w:tc>
          <w:tcPr>
            <w:tcW w:w="3708" w:type="dxa"/>
          </w:tcPr>
          <w:p w14:paraId="67992C17" w14:textId="77777777" w:rsidR="000F2896" w:rsidRDefault="001A22D5">
            <w:pPr>
              <w:pStyle w:val="TableParagraph"/>
            </w:pPr>
            <w:r>
              <w:t xml:space="preserve">2 verbal </w:t>
            </w:r>
            <w:r>
              <w:rPr>
                <w:spacing w:val="-2"/>
              </w:rPr>
              <w:t>quotations</w:t>
            </w:r>
          </w:p>
        </w:tc>
      </w:tr>
      <w:tr w:rsidR="000F2896" w14:paraId="743D2464" w14:textId="77777777">
        <w:trPr>
          <w:trHeight w:val="505"/>
        </w:trPr>
        <w:tc>
          <w:tcPr>
            <w:tcW w:w="5040" w:type="dxa"/>
          </w:tcPr>
          <w:p w14:paraId="1CE7ADC0" w14:textId="77777777" w:rsidR="000F2896" w:rsidRDefault="001A22D5">
            <w:pPr>
              <w:pStyle w:val="TableParagraph"/>
            </w:pPr>
            <w:r>
              <w:t xml:space="preserve">$250 - </w:t>
            </w:r>
            <w:r>
              <w:rPr>
                <w:spacing w:val="-2"/>
              </w:rPr>
              <w:t>$2,999.99</w:t>
            </w:r>
          </w:p>
        </w:tc>
        <w:tc>
          <w:tcPr>
            <w:tcW w:w="3708" w:type="dxa"/>
          </w:tcPr>
          <w:p w14:paraId="7F01699A" w14:textId="77777777" w:rsidR="000F2896" w:rsidRDefault="001A22D5">
            <w:pPr>
              <w:pStyle w:val="TableParagraph"/>
              <w:ind w:left="108"/>
            </w:pPr>
            <w:r>
              <w:t>2</w:t>
            </w:r>
            <w:r>
              <w:rPr>
                <w:spacing w:val="-9"/>
              </w:rPr>
              <w:t xml:space="preserve"> </w:t>
            </w:r>
            <w:r>
              <w:t>written/fax/e-mail</w:t>
            </w:r>
            <w:r>
              <w:rPr>
                <w:spacing w:val="-9"/>
              </w:rPr>
              <w:t xml:space="preserve"> </w:t>
            </w:r>
            <w:r>
              <w:rPr>
                <w:spacing w:val="-2"/>
              </w:rPr>
              <w:t>quotations</w:t>
            </w:r>
          </w:p>
        </w:tc>
      </w:tr>
      <w:tr w:rsidR="000F2896" w14:paraId="1D53F4D5" w14:textId="77777777">
        <w:trPr>
          <w:trHeight w:val="1264"/>
        </w:trPr>
        <w:tc>
          <w:tcPr>
            <w:tcW w:w="5040" w:type="dxa"/>
          </w:tcPr>
          <w:p w14:paraId="68A9FC73" w14:textId="77777777" w:rsidR="000F2896" w:rsidRDefault="001A22D5">
            <w:pPr>
              <w:pStyle w:val="TableParagraph"/>
            </w:pPr>
            <w:r>
              <w:t xml:space="preserve">$3,000 and </w:t>
            </w:r>
            <w:r>
              <w:rPr>
                <w:spacing w:val="-2"/>
              </w:rPr>
              <w:t>above</w:t>
            </w:r>
          </w:p>
        </w:tc>
        <w:tc>
          <w:tcPr>
            <w:tcW w:w="3708" w:type="dxa"/>
          </w:tcPr>
          <w:p w14:paraId="5C46A5D0" w14:textId="77777777" w:rsidR="000F2896" w:rsidRDefault="001A22D5">
            <w:pPr>
              <w:pStyle w:val="TableParagraph"/>
              <w:spacing w:line="250" w:lineRule="atLeast"/>
              <w:ind w:right="127"/>
            </w:pPr>
            <w:r>
              <w:t>2 written/fax/e-mail quotations or written</w:t>
            </w:r>
            <w:r>
              <w:rPr>
                <w:spacing w:val="-9"/>
              </w:rPr>
              <w:t xml:space="preserve"> </w:t>
            </w:r>
            <w:r>
              <w:t>request</w:t>
            </w:r>
            <w:r>
              <w:rPr>
                <w:spacing w:val="-8"/>
              </w:rPr>
              <w:t xml:space="preserve"> </w:t>
            </w:r>
            <w:r>
              <w:t>for</w:t>
            </w:r>
            <w:r>
              <w:rPr>
                <w:spacing w:val="-8"/>
              </w:rPr>
              <w:t xml:space="preserve"> </w:t>
            </w:r>
            <w:r>
              <w:t>proposals</w:t>
            </w:r>
            <w:r>
              <w:rPr>
                <w:spacing w:val="-8"/>
              </w:rPr>
              <w:t xml:space="preserve"> </w:t>
            </w:r>
            <w:r>
              <w:t>if</w:t>
            </w:r>
            <w:r>
              <w:rPr>
                <w:spacing w:val="-8"/>
              </w:rPr>
              <w:t xml:space="preserve"> </w:t>
            </w:r>
            <w:r>
              <w:t xml:space="preserve">within the Town; otherwise, 3 written/fax/e- mail quotations or written request for </w:t>
            </w:r>
            <w:r>
              <w:rPr>
                <w:spacing w:val="-2"/>
              </w:rPr>
              <w:t>proposals</w:t>
            </w:r>
          </w:p>
        </w:tc>
      </w:tr>
    </w:tbl>
    <w:p w14:paraId="38E441CE" w14:textId="77777777" w:rsidR="000F2896" w:rsidRDefault="000F2896">
      <w:pPr>
        <w:spacing w:line="250" w:lineRule="atLeast"/>
        <w:sectPr w:rsidR="000F2896">
          <w:footerReference w:type="default" r:id="rId7"/>
          <w:type w:val="continuous"/>
          <w:pgSz w:w="12240" w:h="15840"/>
          <w:pgMar w:top="1360" w:right="1220" w:bottom="860" w:left="1320" w:header="0" w:footer="675" w:gutter="0"/>
          <w:pgNumType w:start="1"/>
          <w:cols w:space="720"/>
        </w:sectPr>
      </w:pPr>
    </w:p>
    <w:p w14:paraId="27BD5F0B" w14:textId="77777777" w:rsidR="000F2896" w:rsidRDefault="001A22D5">
      <w:pPr>
        <w:pStyle w:val="ListParagraph"/>
        <w:numPr>
          <w:ilvl w:val="1"/>
          <w:numId w:val="3"/>
        </w:numPr>
        <w:tabs>
          <w:tab w:val="left" w:pos="2279"/>
          <w:tab w:val="left" w:pos="2280"/>
        </w:tabs>
        <w:spacing w:before="80"/>
        <w:ind w:left="2280" w:right="0"/>
      </w:pPr>
      <w:r>
        <w:rPr>
          <w:u w:val="single"/>
        </w:rPr>
        <w:lastRenderedPageBreak/>
        <w:t>Public</w:t>
      </w:r>
      <w:r>
        <w:rPr>
          <w:spacing w:val="-4"/>
          <w:u w:val="single"/>
        </w:rPr>
        <w:t xml:space="preserve"> </w:t>
      </w:r>
      <w:r>
        <w:rPr>
          <w:u w:val="single"/>
        </w:rPr>
        <w:t>Works</w:t>
      </w:r>
      <w:r>
        <w:rPr>
          <w:spacing w:val="-2"/>
          <w:u w:val="single"/>
        </w:rPr>
        <w:t xml:space="preserve"> Contracts</w:t>
      </w:r>
      <w:r>
        <w:rPr>
          <w:spacing w:val="-2"/>
        </w:rPr>
        <w:t>:</w:t>
      </w:r>
    </w:p>
    <w:p w14:paraId="26F3EF5B" w14:textId="77777777" w:rsidR="000F2896" w:rsidRDefault="000F2896">
      <w:pPr>
        <w:pStyle w:val="BodyText"/>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3708"/>
      </w:tblGrid>
      <w:tr w:rsidR="000F2896" w14:paraId="40090523" w14:textId="77777777">
        <w:trPr>
          <w:trHeight w:val="505"/>
        </w:trPr>
        <w:tc>
          <w:tcPr>
            <w:tcW w:w="5040" w:type="dxa"/>
          </w:tcPr>
          <w:p w14:paraId="77323F09" w14:textId="77777777" w:rsidR="000F2896" w:rsidRDefault="001A22D5">
            <w:pPr>
              <w:pStyle w:val="TableParagraph"/>
            </w:pPr>
            <w:r>
              <w:rPr>
                <w:u w:val="single"/>
              </w:rPr>
              <w:t>Estimated</w:t>
            </w:r>
            <w:r>
              <w:rPr>
                <w:spacing w:val="-3"/>
                <w:u w:val="single"/>
              </w:rPr>
              <w:t xml:space="preserve"> </w:t>
            </w:r>
            <w:r>
              <w:rPr>
                <w:u w:val="single"/>
              </w:rPr>
              <w:t>Amount</w:t>
            </w:r>
            <w:r>
              <w:rPr>
                <w:spacing w:val="-2"/>
                <w:u w:val="single"/>
              </w:rPr>
              <w:t xml:space="preserve"> </w:t>
            </w:r>
            <w:r>
              <w:rPr>
                <w:u w:val="single"/>
              </w:rPr>
              <w:t>of</w:t>
            </w:r>
            <w:r>
              <w:rPr>
                <w:spacing w:val="-2"/>
                <w:u w:val="single"/>
              </w:rPr>
              <w:t xml:space="preserve"> </w:t>
            </w:r>
            <w:r>
              <w:rPr>
                <w:u w:val="single"/>
              </w:rPr>
              <w:t>Public</w:t>
            </w:r>
            <w:r>
              <w:rPr>
                <w:spacing w:val="-3"/>
                <w:u w:val="single"/>
              </w:rPr>
              <w:t xml:space="preserve"> </w:t>
            </w:r>
            <w:r>
              <w:rPr>
                <w:u w:val="single"/>
              </w:rPr>
              <w:t>Works</w:t>
            </w:r>
            <w:r>
              <w:rPr>
                <w:spacing w:val="-2"/>
                <w:u w:val="single"/>
              </w:rPr>
              <w:t xml:space="preserve"> Contract</w:t>
            </w:r>
          </w:p>
        </w:tc>
        <w:tc>
          <w:tcPr>
            <w:tcW w:w="3708" w:type="dxa"/>
          </w:tcPr>
          <w:p w14:paraId="5DA93953" w14:textId="77777777" w:rsidR="000F2896" w:rsidRDefault="001A22D5">
            <w:pPr>
              <w:pStyle w:val="TableParagraph"/>
            </w:pPr>
            <w:r>
              <w:rPr>
                <w:spacing w:val="-2"/>
                <w:u w:val="single"/>
              </w:rPr>
              <w:t>Method</w:t>
            </w:r>
          </w:p>
        </w:tc>
      </w:tr>
      <w:tr w:rsidR="000F2896" w14:paraId="3F5C5730" w14:textId="77777777">
        <w:trPr>
          <w:trHeight w:val="505"/>
        </w:trPr>
        <w:tc>
          <w:tcPr>
            <w:tcW w:w="5040" w:type="dxa"/>
          </w:tcPr>
          <w:p w14:paraId="3516DD57" w14:textId="77777777" w:rsidR="000F2896" w:rsidRDefault="001A22D5">
            <w:pPr>
              <w:pStyle w:val="TableParagraph"/>
            </w:pPr>
            <w:r>
              <w:t>Up</w:t>
            </w:r>
            <w:r>
              <w:rPr>
                <w:spacing w:val="-2"/>
              </w:rPr>
              <w:t xml:space="preserve"> </w:t>
            </w:r>
            <w:r>
              <w:t xml:space="preserve">to </w:t>
            </w:r>
            <w:r>
              <w:rPr>
                <w:spacing w:val="-4"/>
              </w:rPr>
              <w:t>$250</w:t>
            </w:r>
          </w:p>
        </w:tc>
        <w:tc>
          <w:tcPr>
            <w:tcW w:w="3708" w:type="dxa"/>
          </w:tcPr>
          <w:p w14:paraId="49363356" w14:textId="77777777" w:rsidR="000F2896" w:rsidRDefault="001A22D5">
            <w:pPr>
              <w:pStyle w:val="TableParagraph"/>
            </w:pPr>
            <w:r>
              <w:t xml:space="preserve">2 verbal </w:t>
            </w:r>
            <w:r>
              <w:rPr>
                <w:spacing w:val="-2"/>
              </w:rPr>
              <w:t>quotations</w:t>
            </w:r>
          </w:p>
        </w:tc>
      </w:tr>
      <w:tr w:rsidR="000F2896" w14:paraId="0A7DDBB8" w14:textId="77777777">
        <w:trPr>
          <w:trHeight w:val="253"/>
        </w:trPr>
        <w:tc>
          <w:tcPr>
            <w:tcW w:w="5040" w:type="dxa"/>
          </w:tcPr>
          <w:p w14:paraId="5489AA52" w14:textId="77777777" w:rsidR="000F2896" w:rsidRDefault="001A22D5">
            <w:pPr>
              <w:pStyle w:val="TableParagraph"/>
              <w:spacing w:line="233" w:lineRule="exact"/>
            </w:pPr>
            <w:r>
              <w:t xml:space="preserve">$250 - </w:t>
            </w:r>
            <w:r>
              <w:rPr>
                <w:spacing w:val="-2"/>
              </w:rPr>
              <w:t>4,999</w:t>
            </w:r>
          </w:p>
        </w:tc>
        <w:tc>
          <w:tcPr>
            <w:tcW w:w="3708" w:type="dxa"/>
          </w:tcPr>
          <w:p w14:paraId="4057FC7B" w14:textId="77777777" w:rsidR="000F2896" w:rsidRDefault="001A22D5">
            <w:pPr>
              <w:pStyle w:val="TableParagraph"/>
              <w:spacing w:line="233" w:lineRule="exact"/>
            </w:pPr>
            <w:r>
              <w:t>2</w:t>
            </w:r>
            <w:r>
              <w:rPr>
                <w:spacing w:val="-9"/>
              </w:rPr>
              <w:t xml:space="preserve"> </w:t>
            </w:r>
            <w:r>
              <w:t>written/fax/e-mail</w:t>
            </w:r>
            <w:r>
              <w:rPr>
                <w:spacing w:val="-9"/>
              </w:rPr>
              <w:t xml:space="preserve"> </w:t>
            </w:r>
            <w:r>
              <w:rPr>
                <w:spacing w:val="-2"/>
              </w:rPr>
              <w:t>quotations</w:t>
            </w:r>
          </w:p>
        </w:tc>
      </w:tr>
      <w:tr w:rsidR="000F2896" w14:paraId="07BB25B0" w14:textId="77777777">
        <w:trPr>
          <w:trHeight w:val="505"/>
        </w:trPr>
        <w:tc>
          <w:tcPr>
            <w:tcW w:w="5040" w:type="dxa"/>
          </w:tcPr>
          <w:p w14:paraId="1962DDF0" w14:textId="77777777" w:rsidR="000F2896" w:rsidRDefault="001A22D5">
            <w:pPr>
              <w:pStyle w:val="TableParagraph"/>
            </w:pPr>
            <w:r>
              <w:t xml:space="preserve">$5,000 and </w:t>
            </w:r>
            <w:r>
              <w:rPr>
                <w:spacing w:val="-2"/>
              </w:rPr>
              <w:t>above</w:t>
            </w:r>
          </w:p>
        </w:tc>
        <w:tc>
          <w:tcPr>
            <w:tcW w:w="3708" w:type="dxa"/>
          </w:tcPr>
          <w:p w14:paraId="00E90D98" w14:textId="77777777" w:rsidR="000F2896" w:rsidRDefault="001A22D5">
            <w:pPr>
              <w:pStyle w:val="TableParagraph"/>
              <w:spacing w:line="250" w:lineRule="atLeast"/>
              <w:ind w:right="127"/>
            </w:pPr>
            <w:r>
              <w:t>3</w:t>
            </w:r>
            <w:r>
              <w:rPr>
                <w:spacing w:val="-13"/>
              </w:rPr>
              <w:t xml:space="preserve"> </w:t>
            </w:r>
            <w:r>
              <w:t>written/fax/e-mail</w:t>
            </w:r>
            <w:r>
              <w:rPr>
                <w:spacing w:val="-13"/>
              </w:rPr>
              <w:t xml:space="preserve"> </w:t>
            </w:r>
            <w:r>
              <w:t>quotations</w:t>
            </w:r>
            <w:r>
              <w:rPr>
                <w:spacing w:val="-13"/>
              </w:rPr>
              <w:t xml:space="preserve"> </w:t>
            </w:r>
            <w:r>
              <w:t>or written request for proposals</w:t>
            </w:r>
          </w:p>
        </w:tc>
      </w:tr>
    </w:tbl>
    <w:p w14:paraId="31A17D86" w14:textId="77777777" w:rsidR="000F2896" w:rsidRDefault="000F2896">
      <w:pPr>
        <w:pStyle w:val="BodyText"/>
        <w:spacing w:before="2"/>
      </w:pPr>
    </w:p>
    <w:p w14:paraId="1B593F95" w14:textId="77777777" w:rsidR="000F2896" w:rsidRDefault="001A22D5">
      <w:pPr>
        <w:pStyle w:val="ListParagraph"/>
        <w:numPr>
          <w:ilvl w:val="0"/>
          <w:numId w:val="3"/>
        </w:numPr>
        <w:tabs>
          <w:tab w:val="left" w:pos="1560"/>
        </w:tabs>
        <w:spacing w:before="1"/>
        <w:ind w:firstLine="720"/>
        <w:jc w:val="both"/>
      </w:pPr>
      <w:r>
        <w:rPr>
          <w:u w:val="single"/>
        </w:rPr>
        <w:t>Number of Proposals or Quotations</w:t>
      </w:r>
      <w:r>
        <w:t>. A good faith effort shall be made to obtain the required number of proposals or quotations. If the purchaser is unable to obtain the required number of prop</w:t>
      </w:r>
      <w:r>
        <w:t>osals or quotations, the purchaser will document the attempt made at obtaining the proposals. In no event shall the failure to obtain the proposals be a bar to the procurement.</w:t>
      </w:r>
    </w:p>
    <w:p w14:paraId="49E8F44F" w14:textId="77777777" w:rsidR="000F2896" w:rsidRDefault="000F2896">
      <w:pPr>
        <w:pStyle w:val="BodyText"/>
        <w:spacing w:before="11"/>
        <w:rPr>
          <w:sz w:val="21"/>
        </w:rPr>
      </w:pPr>
    </w:p>
    <w:p w14:paraId="08F14D3D" w14:textId="77777777" w:rsidR="000F2896" w:rsidRDefault="001A22D5">
      <w:pPr>
        <w:pStyle w:val="ListParagraph"/>
        <w:numPr>
          <w:ilvl w:val="0"/>
          <w:numId w:val="3"/>
        </w:numPr>
        <w:tabs>
          <w:tab w:val="left" w:pos="1560"/>
        </w:tabs>
        <w:ind w:right="218" w:firstLine="720"/>
        <w:jc w:val="both"/>
      </w:pPr>
      <w:r>
        <w:rPr>
          <w:u w:val="single"/>
        </w:rPr>
        <w:t>Documentation</w:t>
      </w:r>
      <w:r>
        <w:t>.</w:t>
      </w:r>
      <w:r>
        <w:rPr>
          <w:spacing w:val="40"/>
        </w:rPr>
        <w:t xml:space="preserve"> </w:t>
      </w:r>
      <w:r>
        <w:t>(1)</w:t>
      </w:r>
      <w:r>
        <w:rPr>
          <w:spacing w:val="-3"/>
        </w:rPr>
        <w:t xml:space="preserve"> </w:t>
      </w:r>
      <w:r>
        <w:t>Documentation is required of each action taken in connectio</w:t>
      </w:r>
      <w:r>
        <w:t>n with each procurement.</w:t>
      </w:r>
    </w:p>
    <w:p w14:paraId="2C2CC061" w14:textId="77777777" w:rsidR="000F2896" w:rsidRDefault="000F2896">
      <w:pPr>
        <w:pStyle w:val="BodyText"/>
      </w:pPr>
    </w:p>
    <w:p w14:paraId="4BDD0AF3" w14:textId="77777777" w:rsidR="000F2896" w:rsidRDefault="001A22D5">
      <w:pPr>
        <w:pStyle w:val="BodyText"/>
        <w:ind w:left="840" w:right="216" w:firstLine="720"/>
        <w:jc w:val="both"/>
      </w:pPr>
      <w:r>
        <w:t>(2)</w:t>
      </w:r>
      <w:r>
        <w:rPr>
          <w:spacing w:val="80"/>
        </w:rPr>
        <w:t xml:space="preserve">  </w:t>
      </w:r>
      <w:r>
        <w:t xml:space="preserve">Documentation and an explanation </w:t>
      </w:r>
      <w:proofErr w:type="gramStart"/>
      <w:r>
        <w:t>is</w:t>
      </w:r>
      <w:proofErr w:type="gramEnd"/>
      <w:r>
        <w:t xml:space="preserve"> required whenever a contract is awarded to other than the lowest responsible offeror.</w:t>
      </w:r>
      <w:r>
        <w:rPr>
          <w:spacing w:val="40"/>
        </w:rPr>
        <w:t xml:space="preserve"> </w:t>
      </w:r>
      <w:r>
        <w:t>This documentation</w:t>
      </w:r>
      <w:r>
        <w:rPr>
          <w:spacing w:val="-1"/>
        </w:rPr>
        <w:t xml:space="preserve"> </w:t>
      </w:r>
      <w:r>
        <w:t xml:space="preserve">will include an explanation of </w:t>
      </w:r>
      <w:r>
        <w:t xml:space="preserve">how the reward will achieve savings or how the offeror was not responsible. A determination that the offeror is not responsible shall be made by the purchaser and may not be challenged under any </w:t>
      </w:r>
      <w:r>
        <w:rPr>
          <w:spacing w:val="-2"/>
        </w:rPr>
        <w:t>circumstances.</w:t>
      </w:r>
    </w:p>
    <w:p w14:paraId="79F9F194" w14:textId="77777777" w:rsidR="000F2896" w:rsidRDefault="000F2896">
      <w:pPr>
        <w:pStyle w:val="BodyText"/>
      </w:pPr>
    </w:p>
    <w:p w14:paraId="04B5AACA" w14:textId="77777777" w:rsidR="000F2896" w:rsidRDefault="001A22D5">
      <w:pPr>
        <w:pStyle w:val="BodyText"/>
        <w:ind w:left="120"/>
        <w:jc w:val="both"/>
      </w:pPr>
      <w:r>
        <w:t>SECTION</w:t>
      </w:r>
      <w:r>
        <w:rPr>
          <w:spacing w:val="-3"/>
        </w:rPr>
        <w:t xml:space="preserve"> </w:t>
      </w:r>
      <w:r>
        <w:t>4.</w:t>
      </w:r>
      <w:r>
        <w:rPr>
          <w:spacing w:val="59"/>
          <w:w w:val="150"/>
        </w:rPr>
        <w:t xml:space="preserve">  </w:t>
      </w:r>
      <w:r>
        <w:t>CIRCUMSTANCES</w:t>
      </w:r>
      <w:r>
        <w:rPr>
          <w:spacing w:val="55"/>
          <w:w w:val="150"/>
        </w:rPr>
        <w:t xml:space="preserve"> </w:t>
      </w:r>
      <w:proofErr w:type="gramStart"/>
      <w:r>
        <w:t>WHERE</w:t>
      </w:r>
      <w:proofErr w:type="gramEnd"/>
      <w:r>
        <w:rPr>
          <w:spacing w:val="55"/>
          <w:w w:val="150"/>
        </w:rPr>
        <w:t xml:space="preserve"> </w:t>
      </w:r>
      <w:r>
        <w:t>SOLICITATION</w:t>
      </w:r>
      <w:r>
        <w:rPr>
          <w:spacing w:val="55"/>
          <w:w w:val="150"/>
        </w:rPr>
        <w:t xml:space="preserve"> </w:t>
      </w:r>
      <w:r>
        <w:t>OF</w:t>
      </w:r>
      <w:r>
        <w:rPr>
          <w:spacing w:val="54"/>
          <w:w w:val="150"/>
        </w:rPr>
        <w:t xml:space="preserve"> </w:t>
      </w:r>
      <w:r>
        <w:t>ALTERNATIVE</w:t>
      </w:r>
      <w:r>
        <w:rPr>
          <w:spacing w:val="55"/>
          <w:w w:val="150"/>
        </w:rPr>
        <w:t xml:space="preserve"> </w:t>
      </w:r>
      <w:r>
        <w:rPr>
          <w:spacing w:val="-2"/>
        </w:rPr>
        <w:t>PROPOSALS</w:t>
      </w:r>
    </w:p>
    <w:p w14:paraId="4865A9C6" w14:textId="60E42ADD" w:rsidR="000F2896" w:rsidRDefault="001A22D5">
      <w:pPr>
        <w:pStyle w:val="BodyText"/>
        <w:ind w:left="120" w:right="215"/>
        <w:jc w:val="both"/>
      </w:pPr>
      <w:r>
        <w:t>AND QUOTATIONS NOT IN BEST INTEREST. Pursuant to Section 104-b(2)(</w:t>
      </w:r>
      <w:r w:rsidR="00685363">
        <w:t>g</w:t>
      </w:r>
      <w:r>
        <w:t>) of the General Municipal Law, this Policy may contain circumstances when, or types of procurements for which, in the sole discretion of the members of the Agency, the solicitation of alte</w:t>
      </w:r>
      <w:r>
        <w:t>rnative proposals or quotations will not</w:t>
      </w:r>
      <w:r>
        <w:rPr>
          <w:spacing w:val="-2"/>
        </w:rPr>
        <w:t xml:space="preserve"> </w:t>
      </w:r>
      <w:r>
        <w:t>be</w:t>
      </w:r>
      <w:r>
        <w:rPr>
          <w:spacing w:val="-2"/>
        </w:rPr>
        <w:t xml:space="preserve"> </w:t>
      </w:r>
      <w:r>
        <w:t>in</w:t>
      </w:r>
      <w:r>
        <w:rPr>
          <w:spacing w:val="-2"/>
        </w:rPr>
        <w:t xml:space="preserve"> </w:t>
      </w:r>
      <w:r>
        <w:t>the</w:t>
      </w:r>
      <w:r>
        <w:rPr>
          <w:spacing w:val="-2"/>
        </w:rPr>
        <w:t xml:space="preserve"> </w:t>
      </w:r>
      <w:r>
        <w:t>best</w:t>
      </w:r>
      <w:r>
        <w:rPr>
          <w:spacing w:val="-2"/>
        </w:rPr>
        <w:t xml:space="preserve"> </w:t>
      </w:r>
      <w:r>
        <w:t>interest</w:t>
      </w:r>
      <w:r>
        <w:rPr>
          <w:spacing w:val="-2"/>
        </w:rPr>
        <w:t xml:space="preserve"> </w:t>
      </w:r>
      <w:r>
        <w:t>of</w:t>
      </w:r>
      <w:r>
        <w:rPr>
          <w:spacing w:val="-2"/>
        </w:rPr>
        <w:t xml:space="preserve"> </w:t>
      </w:r>
      <w:r>
        <w:t>the</w:t>
      </w:r>
      <w:r>
        <w:rPr>
          <w:spacing w:val="-2"/>
        </w:rPr>
        <w:t xml:space="preserve"> </w:t>
      </w:r>
      <w:r>
        <w:t>Agency.</w:t>
      </w:r>
      <w:r>
        <w:rPr>
          <w:spacing w:val="-2"/>
        </w:rPr>
        <w:t xml:space="preserve"> </w:t>
      </w:r>
      <w:r>
        <w:t>In</w:t>
      </w:r>
      <w:r>
        <w:rPr>
          <w:spacing w:val="-2"/>
        </w:rPr>
        <w:t xml:space="preserve"> </w:t>
      </w:r>
      <w:r>
        <w:t>the</w:t>
      </w:r>
      <w:r>
        <w:rPr>
          <w:spacing w:val="-2"/>
        </w:rPr>
        <w:t xml:space="preserve"> </w:t>
      </w:r>
      <w:r>
        <w:t>following</w:t>
      </w:r>
      <w:r>
        <w:rPr>
          <w:spacing w:val="-2"/>
        </w:rPr>
        <w:t xml:space="preserve"> </w:t>
      </w:r>
      <w:r>
        <w:t>circumstances,</w:t>
      </w:r>
      <w:r>
        <w:rPr>
          <w:spacing w:val="-2"/>
        </w:rPr>
        <w:t xml:space="preserve"> </w:t>
      </w:r>
      <w:r>
        <w:t>it</w:t>
      </w:r>
      <w:r>
        <w:rPr>
          <w:spacing w:val="-2"/>
        </w:rPr>
        <w:t xml:space="preserve"> </w:t>
      </w:r>
      <w:r>
        <w:t>may</w:t>
      </w:r>
      <w:r>
        <w:rPr>
          <w:spacing w:val="-2"/>
        </w:rPr>
        <w:t xml:space="preserve"> </w:t>
      </w:r>
      <w:r>
        <w:t>not</w:t>
      </w:r>
      <w:r>
        <w:rPr>
          <w:spacing w:val="-2"/>
        </w:rPr>
        <w:t xml:space="preserve"> </w:t>
      </w:r>
      <w:r>
        <w:t>be</w:t>
      </w:r>
      <w:r>
        <w:rPr>
          <w:spacing w:val="-2"/>
        </w:rPr>
        <w:t xml:space="preserve"> </w:t>
      </w:r>
      <w:r>
        <w:t>in</w:t>
      </w:r>
      <w:r>
        <w:rPr>
          <w:spacing w:val="-2"/>
        </w:rPr>
        <w:t xml:space="preserve"> </w:t>
      </w:r>
      <w:r>
        <w:t>the</w:t>
      </w:r>
      <w:r>
        <w:rPr>
          <w:spacing w:val="-2"/>
        </w:rPr>
        <w:t xml:space="preserve"> </w:t>
      </w:r>
      <w:r>
        <w:t>best</w:t>
      </w:r>
      <w:r>
        <w:rPr>
          <w:spacing w:val="-2"/>
        </w:rPr>
        <w:t xml:space="preserve"> </w:t>
      </w:r>
      <w:r>
        <w:t>interests of the Agency to solicit quotations or document the basis for not accepting the lowest bid:</w:t>
      </w:r>
    </w:p>
    <w:p w14:paraId="7F2EF914" w14:textId="77777777" w:rsidR="000F2896" w:rsidRDefault="000F2896">
      <w:pPr>
        <w:pStyle w:val="BodyText"/>
      </w:pPr>
    </w:p>
    <w:p w14:paraId="48166089" w14:textId="77777777" w:rsidR="000F2896" w:rsidRDefault="001A22D5">
      <w:pPr>
        <w:pStyle w:val="ListParagraph"/>
        <w:numPr>
          <w:ilvl w:val="0"/>
          <w:numId w:val="2"/>
        </w:numPr>
        <w:tabs>
          <w:tab w:val="left" w:pos="1560"/>
        </w:tabs>
        <w:ind w:right="214" w:firstLine="720"/>
        <w:jc w:val="both"/>
      </w:pPr>
      <w:r>
        <w:rPr>
          <w:u w:val="single"/>
        </w:rPr>
        <w:t>Professional Se</w:t>
      </w:r>
      <w:r>
        <w:rPr>
          <w:u w:val="single"/>
        </w:rPr>
        <w:t>rvices</w:t>
      </w:r>
      <w:r>
        <w:t>. Professional services or services requiring special or technical</w:t>
      </w:r>
      <w:r>
        <w:rPr>
          <w:spacing w:val="40"/>
        </w:rPr>
        <w:t xml:space="preserve"> </w:t>
      </w:r>
      <w:r>
        <w:t xml:space="preserve">skill, </w:t>
      </w:r>
      <w:proofErr w:type="gramStart"/>
      <w:r>
        <w:t>training</w:t>
      </w:r>
      <w:proofErr w:type="gramEnd"/>
      <w:r>
        <w:t xml:space="preserve"> or expertise.</w:t>
      </w:r>
      <w:r>
        <w:rPr>
          <w:spacing w:val="40"/>
        </w:rPr>
        <w:t xml:space="preserve"> </w:t>
      </w:r>
      <w:r>
        <w:t xml:space="preserve">The individual, company or firm must be chosen based on accountability, reliability, responsibility, skill, conflict of interests, reputation, education </w:t>
      </w:r>
      <w:r>
        <w:t>and training, judgement, integrity, continuity of service and moral worth. Furthermore, certain professional services to be provided to the Agency, e.g., legal and accounting services, impact liability issues of the Agency and its members, including</w:t>
      </w:r>
      <w:r>
        <w:rPr>
          <w:spacing w:val="-4"/>
        </w:rPr>
        <w:t xml:space="preserve"> </w:t>
      </w:r>
      <w:r>
        <w:t>securi</w:t>
      </w:r>
      <w:r>
        <w:t>ties</w:t>
      </w:r>
      <w:r>
        <w:rPr>
          <w:spacing w:val="-4"/>
        </w:rPr>
        <w:t xml:space="preserve"> </w:t>
      </w:r>
      <w:r>
        <w:t>liability</w:t>
      </w:r>
      <w:r>
        <w:rPr>
          <w:spacing w:val="-4"/>
        </w:rPr>
        <w:t xml:space="preserve"> </w:t>
      </w:r>
      <w:r>
        <w:t>in</w:t>
      </w:r>
      <w:r>
        <w:rPr>
          <w:spacing w:val="-3"/>
        </w:rPr>
        <w:t xml:space="preserve"> </w:t>
      </w:r>
      <w:r>
        <w:t>circumstances</w:t>
      </w:r>
      <w:r>
        <w:rPr>
          <w:spacing w:val="-4"/>
        </w:rPr>
        <w:t xml:space="preserve"> </w:t>
      </w:r>
      <w:r>
        <w:t>where</w:t>
      </w:r>
      <w:r>
        <w:rPr>
          <w:spacing w:val="-4"/>
        </w:rPr>
        <w:t xml:space="preserve"> </w:t>
      </w:r>
      <w:r>
        <w:t>the</w:t>
      </w:r>
      <w:r>
        <w:rPr>
          <w:spacing w:val="-3"/>
        </w:rPr>
        <w:t xml:space="preserve"> </w:t>
      </w:r>
      <w:r>
        <w:t>Agency</w:t>
      </w:r>
      <w:r>
        <w:rPr>
          <w:spacing w:val="-4"/>
        </w:rPr>
        <w:t xml:space="preserve"> </w:t>
      </w:r>
      <w:r>
        <w:t>is</w:t>
      </w:r>
      <w:r>
        <w:rPr>
          <w:spacing w:val="-3"/>
        </w:rPr>
        <w:t xml:space="preserve"> </w:t>
      </w:r>
      <w:r>
        <w:t>issuing</w:t>
      </w:r>
      <w:r>
        <w:rPr>
          <w:spacing w:val="-3"/>
        </w:rPr>
        <w:t xml:space="preserve"> </w:t>
      </w:r>
      <w:r>
        <w:t>bonds.</w:t>
      </w:r>
      <w:r>
        <w:rPr>
          <w:spacing w:val="-3"/>
        </w:rPr>
        <w:t xml:space="preserve"> </w:t>
      </w:r>
      <w:r>
        <w:t>These</w:t>
      </w:r>
      <w:r>
        <w:rPr>
          <w:spacing w:val="-3"/>
        </w:rPr>
        <w:t xml:space="preserve"> </w:t>
      </w:r>
      <w:r>
        <w:t>qualifications</w:t>
      </w:r>
      <w:r>
        <w:rPr>
          <w:spacing w:val="-4"/>
        </w:rPr>
        <w:t xml:space="preserve"> </w:t>
      </w:r>
      <w:r>
        <w:t>and the concerns of the Agency regarding its liability and the liability of its members are not necessarily</w:t>
      </w:r>
      <w:r>
        <w:rPr>
          <w:spacing w:val="80"/>
        </w:rPr>
        <w:t xml:space="preserve"> </w:t>
      </w:r>
      <w:r>
        <w:t>found or addressed in the individual, company or firm that offers the lowest price and the nature of these services are such that they do not readil</w:t>
      </w:r>
      <w:r>
        <w:t>y lend themselves to competitive procurement procedures.</w:t>
      </w:r>
    </w:p>
    <w:p w14:paraId="1D8253BE" w14:textId="77777777" w:rsidR="000F2896" w:rsidRDefault="000F2896">
      <w:pPr>
        <w:pStyle w:val="BodyText"/>
      </w:pPr>
    </w:p>
    <w:p w14:paraId="2BD3700C" w14:textId="77777777" w:rsidR="000F2896" w:rsidRDefault="001A22D5">
      <w:pPr>
        <w:pStyle w:val="BodyText"/>
        <w:ind w:left="120" w:right="217" w:firstLine="720"/>
        <w:jc w:val="both"/>
      </w:pPr>
      <w:r>
        <w:t>In determining whether a service fits into this category, the Agency shall take into consideration the</w:t>
      </w:r>
      <w:r>
        <w:rPr>
          <w:spacing w:val="15"/>
        </w:rPr>
        <w:t xml:space="preserve"> </w:t>
      </w:r>
      <w:r>
        <w:t>following</w:t>
      </w:r>
      <w:r>
        <w:rPr>
          <w:spacing w:val="14"/>
        </w:rPr>
        <w:t xml:space="preserve"> </w:t>
      </w:r>
      <w:r>
        <w:t>guidelines:</w:t>
      </w:r>
      <w:r>
        <w:rPr>
          <w:spacing w:val="58"/>
          <w:w w:val="150"/>
        </w:rPr>
        <w:t xml:space="preserve"> </w:t>
      </w:r>
      <w:r>
        <w:t>(a)</w:t>
      </w:r>
      <w:r>
        <w:rPr>
          <w:spacing w:val="-1"/>
        </w:rPr>
        <w:t xml:space="preserve"> </w:t>
      </w:r>
      <w:r>
        <w:t>whether</w:t>
      </w:r>
      <w:r>
        <w:rPr>
          <w:spacing w:val="14"/>
        </w:rPr>
        <w:t xml:space="preserve"> </w:t>
      </w:r>
      <w:r>
        <w:t>the</w:t>
      </w:r>
      <w:r>
        <w:rPr>
          <w:spacing w:val="15"/>
        </w:rPr>
        <w:t xml:space="preserve"> </w:t>
      </w:r>
      <w:r>
        <w:t>services</w:t>
      </w:r>
      <w:r>
        <w:rPr>
          <w:spacing w:val="15"/>
        </w:rPr>
        <w:t xml:space="preserve"> </w:t>
      </w:r>
      <w:r>
        <w:t>are</w:t>
      </w:r>
      <w:r>
        <w:rPr>
          <w:spacing w:val="15"/>
        </w:rPr>
        <w:t xml:space="preserve"> </w:t>
      </w:r>
      <w:r>
        <w:t>subject</w:t>
      </w:r>
      <w:r>
        <w:rPr>
          <w:spacing w:val="15"/>
        </w:rPr>
        <w:t xml:space="preserve"> </w:t>
      </w:r>
      <w:r>
        <w:t>to</w:t>
      </w:r>
      <w:r>
        <w:rPr>
          <w:spacing w:val="15"/>
        </w:rPr>
        <w:t xml:space="preserve"> </w:t>
      </w:r>
      <w:r>
        <w:t>State</w:t>
      </w:r>
      <w:r>
        <w:rPr>
          <w:spacing w:val="15"/>
        </w:rPr>
        <w:t xml:space="preserve"> </w:t>
      </w:r>
      <w:r>
        <w:t>licensing</w:t>
      </w:r>
      <w:r>
        <w:rPr>
          <w:spacing w:val="15"/>
        </w:rPr>
        <w:t xml:space="preserve"> </w:t>
      </w:r>
      <w:r>
        <w:t>or</w:t>
      </w:r>
      <w:r>
        <w:rPr>
          <w:spacing w:val="16"/>
        </w:rPr>
        <w:t xml:space="preserve"> </w:t>
      </w:r>
      <w:r>
        <w:t>testing</w:t>
      </w:r>
      <w:r>
        <w:rPr>
          <w:spacing w:val="15"/>
        </w:rPr>
        <w:t xml:space="preserve"> </w:t>
      </w:r>
      <w:r>
        <w:rPr>
          <w:spacing w:val="-2"/>
        </w:rPr>
        <w:t>requir</w:t>
      </w:r>
      <w:r>
        <w:rPr>
          <w:spacing w:val="-2"/>
        </w:rPr>
        <w:t>ements;</w:t>
      </w:r>
    </w:p>
    <w:p w14:paraId="697E55E5" w14:textId="77777777" w:rsidR="000F2896" w:rsidRDefault="001A22D5">
      <w:pPr>
        <w:pStyle w:val="BodyText"/>
        <w:ind w:left="120" w:right="215"/>
        <w:jc w:val="both"/>
      </w:pPr>
      <w:r>
        <w:t>(b)</w:t>
      </w:r>
      <w:r>
        <w:rPr>
          <w:spacing w:val="-2"/>
        </w:rPr>
        <w:t xml:space="preserve"> </w:t>
      </w:r>
      <w:r>
        <w:t xml:space="preserve">whether substantial formal education or training is </w:t>
      </w:r>
      <w:proofErr w:type="gramStart"/>
      <w:r>
        <w:t>a necessary prerequisite</w:t>
      </w:r>
      <w:proofErr w:type="gramEnd"/>
      <w:r>
        <w:t xml:space="preserve"> to the performance of the services; and (c)</w:t>
      </w:r>
      <w:r>
        <w:rPr>
          <w:spacing w:val="-2"/>
        </w:rPr>
        <w:t xml:space="preserve"> </w:t>
      </w:r>
      <w:r>
        <w:t>whether the services require a personal relationship between the individual and the members of the Agency.</w:t>
      </w:r>
      <w:r>
        <w:rPr>
          <w:spacing w:val="40"/>
        </w:rPr>
        <w:t xml:space="preserve"> </w:t>
      </w:r>
      <w:r>
        <w:t xml:space="preserve">Professional or </w:t>
      </w:r>
      <w:r>
        <w:t>technical services shall include but not be limited to the following: services of an attorney (including bond counsel); services of a physician; technical services of an engineer engaged to prepare plans, maps and estimates; securing insurance coverage and</w:t>
      </w:r>
      <w:r>
        <w:t>/or services of an insurance broker; services of a certified public accountant; investment management services; printing services</w:t>
      </w:r>
      <w:r>
        <w:rPr>
          <w:spacing w:val="22"/>
        </w:rPr>
        <w:t xml:space="preserve"> </w:t>
      </w:r>
      <w:r>
        <w:t>involving</w:t>
      </w:r>
      <w:r>
        <w:rPr>
          <w:spacing w:val="22"/>
        </w:rPr>
        <w:t xml:space="preserve"> </w:t>
      </w:r>
      <w:r>
        <w:t>extensive</w:t>
      </w:r>
      <w:r>
        <w:rPr>
          <w:spacing w:val="22"/>
        </w:rPr>
        <w:t xml:space="preserve"> </w:t>
      </w:r>
      <w:r>
        <w:t>writing,</w:t>
      </w:r>
      <w:r>
        <w:rPr>
          <w:spacing w:val="22"/>
        </w:rPr>
        <w:t xml:space="preserve"> </w:t>
      </w:r>
      <w:r>
        <w:t>editing</w:t>
      </w:r>
      <w:r>
        <w:rPr>
          <w:spacing w:val="22"/>
        </w:rPr>
        <w:t xml:space="preserve"> </w:t>
      </w:r>
      <w:r>
        <w:t>or</w:t>
      </w:r>
      <w:r>
        <w:rPr>
          <w:spacing w:val="23"/>
        </w:rPr>
        <w:t xml:space="preserve"> </w:t>
      </w:r>
      <w:proofErr w:type="gramStart"/>
      <w:r>
        <w:t>art</w:t>
      </w:r>
      <w:r>
        <w:rPr>
          <w:spacing w:val="23"/>
        </w:rPr>
        <w:t xml:space="preserve"> </w:t>
      </w:r>
      <w:r>
        <w:t>work</w:t>
      </w:r>
      <w:proofErr w:type="gramEnd"/>
      <w:r>
        <w:t>;</w:t>
      </w:r>
      <w:r>
        <w:rPr>
          <w:spacing w:val="22"/>
        </w:rPr>
        <w:t xml:space="preserve"> </w:t>
      </w:r>
      <w:r>
        <w:t>management</w:t>
      </w:r>
      <w:r>
        <w:rPr>
          <w:spacing w:val="22"/>
        </w:rPr>
        <w:t xml:space="preserve"> </w:t>
      </w:r>
      <w:r>
        <w:t>of</w:t>
      </w:r>
      <w:r>
        <w:rPr>
          <w:spacing w:val="23"/>
        </w:rPr>
        <w:t xml:space="preserve"> </w:t>
      </w:r>
      <w:r>
        <w:t>Agency-owned</w:t>
      </w:r>
      <w:r>
        <w:rPr>
          <w:spacing w:val="22"/>
        </w:rPr>
        <w:t xml:space="preserve"> </w:t>
      </w:r>
      <w:r>
        <w:t>property;</w:t>
      </w:r>
      <w:r>
        <w:rPr>
          <w:spacing w:val="22"/>
        </w:rPr>
        <w:t xml:space="preserve"> </w:t>
      </w:r>
      <w:r>
        <w:t>and</w:t>
      </w:r>
    </w:p>
    <w:p w14:paraId="2EB234B8" w14:textId="77777777" w:rsidR="000F2896" w:rsidRDefault="000F2896">
      <w:pPr>
        <w:jc w:val="both"/>
        <w:sectPr w:rsidR="000F2896">
          <w:footerReference w:type="default" r:id="rId8"/>
          <w:pgSz w:w="12240" w:h="15840"/>
          <w:pgMar w:top="1360" w:right="1220" w:bottom="1120" w:left="1320" w:header="0" w:footer="925" w:gutter="0"/>
          <w:pgNumType w:start="2"/>
          <w:cols w:space="720"/>
        </w:sectPr>
      </w:pPr>
    </w:p>
    <w:p w14:paraId="059D3A5C" w14:textId="77777777" w:rsidR="000F2896" w:rsidRDefault="001A22D5">
      <w:pPr>
        <w:pStyle w:val="BodyText"/>
        <w:spacing w:before="80"/>
        <w:ind w:left="120"/>
      </w:pPr>
      <w:r>
        <w:lastRenderedPageBreak/>
        <w:t>computer software or programming services for customized programs, or services involved in substantial modification and customizing of pre-packaged software.</w:t>
      </w:r>
    </w:p>
    <w:p w14:paraId="7BD481C8" w14:textId="77777777" w:rsidR="000F2896" w:rsidRDefault="000F2896">
      <w:pPr>
        <w:pStyle w:val="BodyText"/>
      </w:pPr>
    </w:p>
    <w:p w14:paraId="2283D5DC" w14:textId="77777777" w:rsidR="000F2896" w:rsidRDefault="001A22D5">
      <w:pPr>
        <w:pStyle w:val="ListParagraph"/>
        <w:numPr>
          <w:ilvl w:val="0"/>
          <w:numId w:val="2"/>
        </w:numPr>
        <w:tabs>
          <w:tab w:val="left" w:pos="1560"/>
        </w:tabs>
        <w:ind w:right="215" w:firstLine="720"/>
        <w:jc w:val="both"/>
      </w:pPr>
      <w:r>
        <w:rPr>
          <w:u w:val="single"/>
        </w:rPr>
        <w:t>Emergency Purchases</w:t>
      </w:r>
      <w:r>
        <w:t>.</w:t>
      </w:r>
      <w:r>
        <w:rPr>
          <w:spacing w:val="40"/>
        </w:rPr>
        <w:t xml:space="preserve"> </w:t>
      </w:r>
      <w:r>
        <w:t>An emergency condition is an unforeseen danger to life, safety, property, or a necessary service. The existence of such a condition creates an immediate and serious need for goods, services, or construction that cannot be met through normal procurement met</w:t>
      </w:r>
      <w:r>
        <w:t xml:space="preserve">hods. An emergency procurement shall be limited to the procurement of those items necessary to avoid or mitigate </w:t>
      </w:r>
      <w:proofErr w:type="gramStart"/>
      <w:r>
        <w:t>serious danger</w:t>
      </w:r>
      <w:proofErr w:type="gramEnd"/>
      <w:r>
        <w:t xml:space="preserve"> to life, safety, property, or a necessary service. The procedure used shall assure that the required items are procured in time </w:t>
      </w:r>
      <w:r>
        <w:t xml:space="preserve">to meet the emergency. Given this constraint, such competition as is possible and practicable shall be obtained. The Executive Director of the Agency shall at the earliest practicable time make a written determination of the basis of the emergency and the </w:t>
      </w:r>
      <w:r>
        <w:t>basis of the selection of the contractor. Such written determination shall include a description of the process by which the Executive Director of the Agency made such selection of the contractor. A copy of such written determination shall be provided to t</w:t>
      </w:r>
      <w:r>
        <w:t>he members of the Agency at or prior to the next meeting of the members of the Agency.</w:t>
      </w:r>
    </w:p>
    <w:p w14:paraId="36B02AAB" w14:textId="77777777" w:rsidR="000F2896" w:rsidRDefault="000F2896">
      <w:pPr>
        <w:pStyle w:val="BodyText"/>
        <w:spacing w:before="11"/>
        <w:rPr>
          <w:sz w:val="21"/>
        </w:rPr>
      </w:pPr>
    </w:p>
    <w:p w14:paraId="1F61C27B" w14:textId="77777777" w:rsidR="000F2896" w:rsidRDefault="001A22D5">
      <w:pPr>
        <w:pStyle w:val="ListParagraph"/>
        <w:numPr>
          <w:ilvl w:val="0"/>
          <w:numId w:val="2"/>
        </w:numPr>
        <w:tabs>
          <w:tab w:val="left" w:pos="1560"/>
        </w:tabs>
        <w:ind w:firstLine="720"/>
        <w:jc w:val="both"/>
      </w:pPr>
      <w:r>
        <w:rPr>
          <w:u w:val="single"/>
        </w:rPr>
        <w:t>Purchases of Secondhand Goods</w:t>
      </w:r>
      <w:r>
        <w:t>.</w:t>
      </w:r>
      <w:r>
        <w:rPr>
          <w:spacing w:val="40"/>
        </w:rPr>
        <w:t xml:space="preserve"> </w:t>
      </w:r>
      <w:r>
        <w:t>Purchases of surplus and secondhand goods from any source. If alternate proposals are required, the Agency is precluded from purchasing s</w:t>
      </w:r>
      <w:r>
        <w:t>urplus and second- hand goods at auctions or through specific advertised sources where the best prices are usually obtained.</w:t>
      </w:r>
      <w:r>
        <w:rPr>
          <w:spacing w:val="40"/>
        </w:rPr>
        <w:t xml:space="preserve"> </w:t>
      </w:r>
      <w:r>
        <w:t>It is also difficult to try to compare prices of used goods and a lower price may indicate an older product.</w:t>
      </w:r>
    </w:p>
    <w:p w14:paraId="046EB2CB" w14:textId="77777777" w:rsidR="000F2896" w:rsidRDefault="000F2896">
      <w:pPr>
        <w:pStyle w:val="BodyText"/>
      </w:pPr>
    </w:p>
    <w:p w14:paraId="25CDBB83" w14:textId="77777777" w:rsidR="000F2896" w:rsidRDefault="001A22D5">
      <w:pPr>
        <w:pStyle w:val="ListParagraph"/>
        <w:numPr>
          <w:ilvl w:val="0"/>
          <w:numId w:val="2"/>
        </w:numPr>
        <w:tabs>
          <w:tab w:val="left" w:pos="1560"/>
        </w:tabs>
        <w:ind w:right="215" w:firstLine="720"/>
        <w:jc w:val="both"/>
      </w:pPr>
      <w:r>
        <w:rPr>
          <w:u w:val="single"/>
        </w:rPr>
        <w:t>Goods or Services und</w:t>
      </w:r>
      <w:r>
        <w:rPr>
          <w:u w:val="single"/>
        </w:rPr>
        <w:t>er $250</w:t>
      </w:r>
      <w:r>
        <w:t>. The time and documentation required to purchase</w:t>
      </w:r>
      <w:r>
        <w:rPr>
          <w:spacing w:val="80"/>
        </w:rPr>
        <w:t xml:space="preserve"> </w:t>
      </w:r>
      <w:r>
        <w:t>through this policy may be more costly than the item itself and would therefore not be in the best interests of the taxpayer.</w:t>
      </w:r>
      <w:r>
        <w:rPr>
          <w:spacing w:val="40"/>
        </w:rPr>
        <w:t xml:space="preserve"> </w:t>
      </w:r>
      <w:r>
        <w:t>In addition, it is not likely that such de minimis contracts would be awa</w:t>
      </w:r>
      <w:r>
        <w:t xml:space="preserve">rded based on </w:t>
      </w:r>
      <w:r>
        <w:rPr>
          <w:spacing w:val="-2"/>
        </w:rPr>
        <w:t>favoritism.</w:t>
      </w:r>
    </w:p>
    <w:p w14:paraId="609F590B" w14:textId="77777777" w:rsidR="000F2896" w:rsidRDefault="000F2896">
      <w:pPr>
        <w:pStyle w:val="BodyText"/>
      </w:pPr>
    </w:p>
    <w:p w14:paraId="5C27EDA3" w14:textId="77777777" w:rsidR="000F2896" w:rsidRDefault="001A22D5">
      <w:pPr>
        <w:pStyle w:val="ListParagraph"/>
        <w:numPr>
          <w:ilvl w:val="0"/>
          <w:numId w:val="2"/>
        </w:numPr>
        <w:tabs>
          <w:tab w:val="left" w:pos="1560"/>
        </w:tabs>
        <w:ind w:firstLine="714"/>
        <w:jc w:val="both"/>
      </w:pPr>
      <w:r>
        <w:rPr>
          <w:u w:val="single"/>
        </w:rPr>
        <w:t>Sole Source Procurement</w:t>
      </w:r>
      <w:r>
        <w:t>. Sole source procurement shall be used only when there is only one source for the required good, service, or construction. In such case, the accepted price and terms and conditions shall be achieved throug</w:t>
      </w:r>
      <w:r>
        <w:t xml:space="preserve">h negotiation between the Agency and the vendor. Prior to </w:t>
      </w:r>
      <w:proofErr w:type="gramStart"/>
      <w:r>
        <w:t>entering into</w:t>
      </w:r>
      <w:proofErr w:type="gramEnd"/>
      <w:r>
        <w:t xml:space="preserve"> sole source negotiations, the Executive Director of the Agency shall make a written determination that there is only one source for the required good, service, or construction. Such wr</w:t>
      </w:r>
      <w:r>
        <w:t>itten determination shall include a description of the process by which the Executive Director of the Agency made such determination.</w:t>
      </w:r>
      <w:r>
        <w:rPr>
          <w:spacing w:val="-3"/>
        </w:rPr>
        <w:t xml:space="preserve"> </w:t>
      </w:r>
      <w:r>
        <w:t>A</w:t>
      </w:r>
      <w:r>
        <w:rPr>
          <w:spacing w:val="-3"/>
        </w:rPr>
        <w:t xml:space="preserve"> </w:t>
      </w:r>
      <w:r>
        <w:t>copy</w:t>
      </w:r>
      <w:r>
        <w:rPr>
          <w:spacing w:val="-2"/>
        </w:rPr>
        <w:t xml:space="preserve"> </w:t>
      </w:r>
      <w:r>
        <w:t>of</w:t>
      </w:r>
      <w:r>
        <w:rPr>
          <w:spacing w:val="-2"/>
        </w:rPr>
        <w:t xml:space="preserve"> </w:t>
      </w:r>
      <w:r>
        <w:t>such</w:t>
      </w:r>
      <w:r>
        <w:rPr>
          <w:spacing w:val="-3"/>
        </w:rPr>
        <w:t xml:space="preserve"> </w:t>
      </w:r>
      <w:r>
        <w:t>written</w:t>
      </w:r>
      <w:r>
        <w:rPr>
          <w:spacing w:val="-3"/>
        </w:rPr>
        <w:t xml:space="preserve"> </w:t>
      </w:r>
      <w:r>
        <w:t>determination</w:t>
      </w:r>
      <w:r>
        <w:rPr>
          <w:spacing w:val="-3"/>
        </w:rPr>
        <w:t xml:space="preserve"> </w:t>
      </w:r>
      <w:r>
        <w:t>shall</w:t>
      </w:r>
      <w:r>
        <w:rPr>
          <w:spacing w:val="-3"/>
        </w:rPr>
        <w:t xml:space="preserve"> </w:t>
      </w:r>
      <w:r>
        <w:t>be</w:t>
      </w:r>
      <w:r>
        <w:rPr>
          <w:spacing w:val="-2"/>
        </w:rPr>
        <w:t xml:space="preserve"> </w:t>
      </w:r>
      <w:r>
        <w:t>provided</w:t>
      </w:r>
      <w:r>
        <w:rPr>
          <w:spacing w:val="-3"/>
        </w:rPr>
        <w:t xml:space="preserve"> </w:t>
      </w:r>
      <w:r>
        <w:t>to</w:t>
      </w:r>
      <w:r>
        <w:rPr>
          <w:spacing w:val="-2"/>
        </w:rPr>
        <w:t xml:space="preserve"> </w:t>
      </w:r>
      <w:r>
        <w:t>the</w:t>
      </w:r>
      <w:r>
        <w:rPr>
          <w:spacing w:val="-2"/>
        </w:rPr>
        <w:t xml:space="preserve"> </w:t>
      </w:r>
      <w:r>
        <w:t>members</w:t>
      </w:r>
      <w:r>
        <w:rPr>
          <w:spacing w:val="-2"/>
        </w:rPr>
        <w:t xml:space="preserve"> </w:t>
      </w:r>
      <w:r>
        <w:t>of</w:t>
      </w:r>
      <w:r>
        <w:rPr>
          <w:spacing w:val="-2"/>
        </w:rPr>
        <w:t xml:space="preserve"> </w:t>
      </w:r>
      <w:r>
        <w:t>the</w:t>
      </w:r>
      <w:r>
        <w:rPr>
          <w:spacing w:val="-2"/>
        </w:rPr>
        <w:t xml:space="preserve"> </w:t>
      </w:r>
      <w:r>
        <w:t>Agency</w:t>
      </w:r>
      <w:r>
        <w:rPr>
          <w:spacing w:val="-3"/>
        </w:rPr>
        <w:t xml:space="preserve"> </w:t>
      </w:r>
      <w:r>
        <w:t>at</w:t>
      </w:r>
      <w:r>
        <w:rPr>
          <w:spacing w:val="-2"/>
        </w:rPr>
        <w:t xml:space="preserve"> </w:t>
      </w:r>
      <w:r>
        <w:t>or prior to the next meeting of the members of the Agency.</w:t>
      </w:r>
    </w:p>
    <w:p w14:paraId="02D45C9C" w14:textId="77777777" w:rsidR="000F2896" w:rsidRDefault="000F2896">
      <w:pPr>
        <w:pStyle w:val="BodyText"/>
      </w:pPr>
    </w:p>
    <w:p w14:paraId="27F190B5" w14:textId="77777777" w:rsidR="000F2896" w:rsidRDefault="001A22D5">
      <w:pPr>
        <w:pStyle w:val="BodyText"/>
        <w:tabs>
          <w:tab w:val="left" w:pos="1559"/>
        </w:tabs>
        <w:ind w:left="120"/>
      </w:pPr>
      <w:r>
        <w:t>SECTION</w:t>
      </w:r>
      <w:r>
        <w:rPr>
          <w:spacing w:val="-7"/>
        </w:rPr>
        <w:t xml:space="preserve"> </w:t>
      </w:r>
      <w:r>
        <w:rPr>
          <w:spacing w:val="-5"/>
        </w:rPr>
        <w:t>5.</w:t>
      </w:r>
      <w:r>
        <w:tab/>
        <w:t>EQUAL</w:t>
      </w:r>
      <w:r>
        <w:rPr>
          <w:spacing w:val="37"/>
        </w:rPr>
        <w:t xml:space="preserve"> </w:t>
      </w:r>
      <w:r>
        <w:t>EMPLOYMENT</w:t>
      </w:r>
      <w:r>
        <w:rPr>
          <w:spacing w:val="40"/>
        </w:rPr>
        <w:t xml:space="preserve"> </w:t>
      </w:r>
      <w:r>
        <w:t>OPPORTUNITIES</w:t>
      </w:r>
      <w:r>
        <w:rPr>
          <w:spacing w:val="40"/>
        </w:rPr>
        <w:t xml:space="preserve"> </w:t>
      </w:r>
      <w:r>
        <w:t>FOR</w:t>
      </w:r>
      <w:r>
        <w:rPr>
          <w:spacing w:val="40"/>
        </w:rPr>
        <w:t xml:space="preserve"> </w:t>
      </w:r>
      <w:r>
        <w:t>MINORITY</w:t>
      </w:r>
      <w:r>
        <w:rPr>
          <w:spacing w:val="40"/>
        </w:rPr>
        <w:t xml:space="preserve"> </w:t>
      </w:r>
      <w:r>
        <w:t>GROUP</w:t>
      </w:r>
      <w:r>
        <w:rPr>
          <w:spacing w:val="40"/>
        </w:rPr>
        <w:t xml:space="preserve"> </w:t>
      </w:r>
      <w:r>
        <w:rPr>
          <w:spacing w:val="-2"/>
        </w:rPr>
        <w:t>MEMBERS</w:t>
      </w:r>
    </w:p>
    <w:p w14:paraId="794946E5" w14:textId="77777777" w:rsidR="000F2896" w:rsidRDefault="001A22D5">
      <w:pPr>
        <w:pStyle w:val="BodyText"/>
        <w:ind w:left="120"/>
      </w:pPr>
      <w:r>
        <w:t>AND</w:t>
      </w:r>
      <w:r>
        <w:rPr>
          <w:spacing w:val="40"/>
        </w:rPr>
        <w:t xml:space="preserve"> </w:t>
      </w:r>
      <w:r>
        <w:t>WOMEN.</w:t>
      </w:r>
      <w:r>
        <w:rPr>
          <w:spacing w:val="40"/>
        </w:rPr>
        <w:t xml:space="preserve"> </w:t>
      </w:r>
      <w:r>
        <w:t>(A)</w:t>
      </w:r>
      <w:r>
        <w:rPr>
          <w:spacing w:val="-2"/>
        </w:rPr>
        <w:t xml:space="preserve"> </w:t>
      </w:r>
      <w:r>
        <w:t>All</w:t>
      </w:r>
      <w:r>
        <w:rPr>
          <w:spacing w:val="40"/>
        </w:rPr>
        <w:t xml:space="preserve"> </w:t>
      </w:r>
      <w:r>
        <w:t>Agency</w:t>
      </w:r>
      <w:r>
        <w:rPr>
          <w:spacing w:val="40"/>
        </w:rPr>
        <w:t xml:space="preserve"> </w:t>
      </w:r>
      <w:r>
        <w:t>documents</w:t>
      </w:r>
      <w:r>
        <w:rPr>
          <w:spacing w:val="40"/>
        </w:rPr>
        <w:t xml:space="preserve"> </w:t>
      </w:r>
      <w:r>
        <w:t>soliciting</w:t>
      </w:r>
      <w:r>
        <w:rPr>
          <w:spacing w:val="40"/>
        </w:rPr>
        <w:t xml:space="preserve"> </w:t>
      </w:r>
      <w:r>
        <w:t>bids</w:t>
      </w:r>
      <w:r>
        <w:rPr>
          <w:spacing w:val="40"/>
        </w:rPr>
        <w:t xml:space="preserve"> </w:t>
      </w:r>
      <w:r>
        <w:t>or</w:t>
      </w:r>
      <w:r>
        <w:rPr>
          <w:spacing w:val="40"/>
        </w:rPr>
        <w:t xml:space="preserve"> </w:t>
      </w:r>
      <w:r>
        <w:t>proposals</w:t>
      </w:r>
      <w:r>
        <w:rPr>
          <w:spacing w:val="40"/>
        </w:rPr>
        <w:t xml:space="preserve"> </w:t>
      </w:r>
      <w:r>
        <w:t>for</w:t>
      </w:r>
      <w:r>
        <w:rPr>
          <w:spacing w:val="40"/>
        </w:rPr>
        <w:t xml:space="preserve"> </w:t>
      </w:r>
      <w:r>
        <w:t>Agency</w:t>
      </w:r>
      <w:r>
        <w:rPr>
          <w:spacing w:val="40"/>
        </w:rPr>
        <w:t xml:space="preserve"> </w:t>
      </w:r>
      <w:r>
        <w:t>contracts</w:t>
      </w:r>
      <w:r>
        <w:rPr>
          <w:spacing w:val="40"/>
        </w:rPr>
        <w:t xml:space="preserve"> </w:t>
      </w:r>
      <w:r>
        <w:t xml:space="preserve">shall contain or </w:t>
      </w:r>
      <w:proofErr w:type="gramStart"/>
      <w:r>
        <w:t>make reference</w:t>
      </w:r>
      <w:proofErr w:type="gramEnd"/>
      <w:r>
        <w:t xml:space="preserve"> to the fo</w:t>
      </w:r>
      <w:r>
        <w:t>llowing provisions:</w:t>
      </w:r>
    </w:p>
    <w:p w14:paraId="0B31B98E" w14:textId="77777777" w:rsidR="000F2896" w:rsidRDefault="000F2896">
      <w:pPr>
        <w:pStyle w:val="BodyText"/>
      </w:pPr>
    </w:p>
    <w:p w14:paraId="0DA82187" w14:textId="77777777" w:rsidR="000F2896" w:rsidRDefault="001A22D5">
      <w:pPr>
        <w:pStyle w:val="ListParagraph"/>
        <w:numPr>
          <w:ilvl w:val="1"/>
          <w:numId w:val="2"/>
        </w:numPr>
        <w:tabs>
          <w:tab w:val="left" w:pos="2280"/>
        </w:tabs>
        <w:ind w:right="215" w:firstLine="720"/>
        <w:jc w:val="both"/>
      </w:pPr>
      <w:r>
        <w:t xml:space="preserve">The Agency will not discriminate against employees or applicants for employment because of race, creed, color, national origin, sex, age, </w:t>
      </w:r>
      <w:proofErr w:type="gramStart"/>
      <w:r>
        <w:t>disability</w:t>
      </w:r>
      <w:proofErr w:type="gramEnd"/>
      <w:r>
        <w:t xml:space="preserve"> or marital status, and will undertake or continue existing programs of affirmative act</w:t>
      </w:r>
      <w:r>
        <w:t>ion to ensure that minority group members and women are afforded equal employment opportunities without discrimination. For purposes of this Section, affirmative action shall mean recruitment, employment, job assignment, promotion, upgrading, demotion, tra</w:t>
      </w:r>
      <w:r>
        <w:t>nsfer, layoff, or termination and rates of pay or other forms of compensation; and</w:t>
      </w:r>
    </w:p>
    <w:p w14:paraId="061B0094" w14:textId="77777777" w:rsidR="000F2896" w:rsidRDefault="000F2896">
      <w:pPr>
        <w:pStyle w:val="BodyText"/>
      </w:pPr>
    </w:p>
    <w:p w14:paraId="54F1DAA6" w14:textId="77777777" w:rsidR="000F2896" w:rsidRDefault="001A22D5">
      <w:pPr>
        <w:pStyle w:val="ListParagraph"/>
        <w:numPr>
          <w:ilvl w:val="1"/>
          <w:numId w:val="2"/>
        </w:numPr>
        <w:tabs>
          <w:tab w:val="left" w:pos="2280"/>
        </w:tabs>
        <w:ind w:right="216" w:firstLine="720"/>
        <w:jc w:val="both"/>
      </w:pPr>
      <w:r>
        <w:t>The Agency shall state, in all solicitations or advertisements for employees, that, in the performance of the Agency contract, all qualified applicants will be afforded equ</w:t>
      </w:r>
      <w:r>
        <w:t>al employment opportunities without discrimination because of race, creed, color, national origin, sex, age, disability or marital status.</w:t>
      </w:r>
    </w:p>
    <w:p w14:paraId="5D5DE493" w14:textId="77777777" w:rsidR="000F2896" w:rsidRDefault="000F2896">
      <w:pPr>
        <w:jc w:val="both"/>
        <w:sectPr w:rsidR="000F2896">
          <w:pgSz w:w="12240" w:h="15840"/>
          <w:pgMar w:top="1360" w:right="1220" w:bottom="1120" w:left="1320" w:header="0" w:footer="925" w:gutter="0"/>
          <w:cols w:space="720"/>
        </w:sectPr>
      </w:pPr>
    </w:p>
    <w:p w14:paraId="7616C62C" w14:textId="77777777" w:rsidR="000F2896" w:rsidRDefault="001A22D5">
      <w:pPr>
        <w:pStyle w:val="ListParagraph"/>
        <w:numPr>
          <w:ilvl w:val="0"/>
          <w:numId w:val="1"/>
        </w:numPr>
        <w:tabs>
          <w:tab w:val="left" w:pos="1560"/>
        </w:tabs>
        <w:spacing w:before="73"/>
        <w:ind w:firstLine="720"/>
        <w:jc w:val="both"/>
      </w:pPr>
      <w:r>
        <w:lastRenderedPageBreak/>
        <w:t>Any contract awarded by the Agency will include the provisions of subsection (A) of this Section in any subcontract, in such a manner that the provisions will be binding upon each subcontractor as to work in connection with the Agency contract.</w:t>
      </w:r>
    </w:p>
    <w:p w14:paraId="62BD7FF7" w14:textId="77777777" w:rsidR="000F2896" w:rsidRDefault="000F2896">
      <w:pPr>
        <w:pStyle w:val="BodyText"/>
        <w:spacing w:before="11"/>
        <w:rPr>
          <w:sz w:val="21"/>
        </w:rPr>
      </w:pPr>
    </w:p>
    <w:p w14:paraId="1AE31BD9" w14:textId="77777777" w:rsidR="000F2896" w:rsidRDefault="001A22D5">
      <w:pPr>
        <w:pStyle w:val="ListParagraph"/>
        <w:numPr>
          <w:ilvl w:val="0"/>
          <w:numId w:val="1"/>
        </w:numPr>
        <w:tabs>
          <w:tab w:val="left" w:pos="1560"/>
        </w:tabs>
        <w:ind w:right="218" w:firstLine="720"/>
        <w:jc w:val="both"/>
      </w:pPr>
      <w:r>
        <w:t>The provis</w:t>
      </w:r>
      <w:r>
        <w:t xml:space="preserve">ions of this Section shall not be binding upon contractors or subcontractors in the performance of work or the provision of services or any other activity that are unrelated, </w:t>
      </w:r>
      <w:proofErr w:type="gramStart"/>
      <w:r>
        <w:t>separate</w:t>
      </w:r>
      <w:proofErr w:type="gramEnd"/>
      <w:r>
        <w:t xml:space="preserve"> or distinct from the Agency contract as expressed by its terms.</w:t>
      </w:r>
    </w:p>
    <w:p w14:paraId="15B003A4" w14:textId="77777777" w:rsidR="000F2896" w:rsidRDefault="000F2896">
      <w:pPr>
        <w:pStyle w:val="BodyText"/>
      </w:pPr>
    </w:p>
    <w:p w14:paraId="1C8859B6" w14:textId="77777777" w:rsidR="000F2896" w:rsidRDefault="001A22D5">
      <w:pPr>
        <w:pStyle w:val="ListParagraph"/>
        <w:numPr>
          <w:ilvl w:val="0"/>
          <w:numId w:val="1"/>
        </w:numPr>
        <w:tabs>
          <w:tab w:val="left" w:pos="1561"/>
        </w:tabs>
        <w:ind w:firstLine="720"/>
        <w:jc w:val="both"/>
      </w:pPr>
      <w:r>
        <w:t xml:space="preserve">In the </w:t>
      </w:r>
      <w:r>
        <w:t>implementation of this Section, the Agency shall consider compliance by a contractor or subcontractor with the requirements of any federal law concerning equal employment opportunity which effectuates the purpose of this Section. The Agency shall determine</w:t>
      </w:r>
      <w:r>
        <w:t xml:space="preserve"> whether the imposition</w:t>
      </w:r>
      <w:r>
        <w:rPr>
          <w:spacing w:val="-2"/>
        </w:rPr>
        <w:t xml:space="preserve"> </w:t>
      </w:r>
      <w:r>
        <w:t>of</w:t>
      </w:r>
      <w:r>
        <w:rPr>
          <w:spacing w:val="-2"/>
        </w:rPr>
        <w:t xml:space="preserve"> </w:t>
      </w:r>
      <w:r>
        <w:t>the</w:t>
      </w:r>
      <w:r>
        <w:rPr>
          <w:spacing w:val="-2"/>
        </w:rPr>
        <w:t xml:space="preserve"> </w:t>
      </w:r>
      <w:r>
        <w:t>requirements</w:t>
      </w:r>
      <w:r>
        <w:rPr>
          <w:spacing w:val="-2"/>
        </w:rPr>
        <w:t xml:space="preserve"> </w:t>
      </w:r>
      <w:r>
        <w:t>of</w:t>
      </w:r>
      <w:r>
        <w:rPr>
          <w:spacing w:val="-2"/>
        </w:rPr>
        <w:t xml:space="preserve"> </w:t>
      </w:r>
      <w:r>
        <w:t>the</w:t>
      </w:r>
      <w:r>
        <w:rPr>
          <w:spacing w:val="-2"/>
        </w:rPr>
        <w:t xml:space="preserve"> </w:t>
      </w:r>
      <w:r>
        <w:t>provisions</w:t>
      </w:r>
      <w:r>
        <w:rPr>
          <w:spacing w:val="-2"/>
        </w:rPr>
        <w:t xml:space="preserve"> </w:t>
      </w:r>
      <w:r>
        <w:t>hereof</w:t>
      </w:r>
      <w:r>
        <w:rPr>
          <w:spacing w:val="-2"/>
        </w:rPr>
        <w:t xml:space="preserve"> </w:t>
      </w:r>
      <w:r>
        <w:t>duplicate</w:t>
      </w:r>
      <w:r>
        <w:rPr>
          <w:spacing w:val="-2"/>
        </w:rPr>
        <w:t xml:space="preserve"> </w:t>
      </w:r>
      <w:r>
        <w:t>or</w:t>
      </w:r>
      <w:r>
        <w:rPr>
          <w:spacing w:val="-2"/>
        </w:rPr>
        <w:t xml:space="preserve"> </w:t>
      </w:r>
      <w:r>
        <w:t>conflict</w:t>
      </w:r>
      <w:r>
        <w:rPr>
          <w:spacing w:val="-2"/>
        </w:rPr>
        <w:t xml:space="preserve"> </w:t>
      </w:r>
      <w:r>
        <w:t>with</w:t>
      </w:r>
      <w:r>
        <w:rPr>
          <w:spacing w:val="-2"/>
        </w:rPr>
        <w:t xml:space="preserve"> </w:t>
      </w:r>
      <w:r>
        <w:t>any</w:t>
      </w:r>
      <w:r>
        <w:rPr>
          <w:spacing w:val="-2"/>
        </w:rPr>
        <w:t xml:space="preserve"> </w:t>
      </w:r>
      <w:r>
        <w:t>such</w:t>
      </w:r>
      <w:r>
        <w:rPr>
          <w:spacing w:val="-2"/>
        </w:rPr>
        <w:t xml:space="preserve"> </w:t>
      </w:r>
      <w:r>
        <w:t>law</w:t>
      </w:r>
      <w:r>
        <w:rPr>
          <w:spacing w:val="-2"/>
        </w:rPr>
        <w:t xml:space="preserve"> </w:t>
      </w:r>
      <w:r>
        <w:t>and</w:t>
      </w:r>
      <w:r>
        <w:rPr>
          <w:spacing w:val="-2"/>
        </w:rPr>
        <w:t xml:space="preserve"> </w:t>
      </w:r>
      <w:r>
        <w:t>if</w:t>
      </w:r>
      <w:r>
        <w:rPr>
          <w:spacing w:val="-2"/>
        </w:rPr>
        <w:t xml:space="preserve"> </w:t>
      </w:r>
      <w:r>
        <w:t>such duplication</w:t>
      </w:r>
      <w:r>
        <w:rPr>
          <w:spacing w:val="-1"/>
        </w:rPr>
        <w:t xml:space="preserve"> </w:t>
      </w:r>
      <w:r>
        <w:t>or conflict exists, the Agency shall waive the applicability</w:t>
      </w:r>
      <w:r>
        <w:rPr>
          <w:spacing w:val="-1"/>
        </w:rPr>
        <w:t xml:space="preserve"> </w:t>
      </w:r>
      <w:r>
        <w:t>of this Section to the extent of such duplication or conflict.</w:t>
      </w:r>
    </w:p>
    <w:p w14:paraId="35E65842" w14:textId="77777777" w:rsidR="000F2896" w:rsidRDefault="000F2896">
      <w:pPr>
        <w:pStyle w:val="BodyText"/>
      </w:pPr>
    </w:p>
    <w:p w14:paraId="60D4BE35" w14:textId="77777777" w:rsidR="000F2896" w:rsidRDefault="001A22D5">
      <w:pPr>
        <w:pStyle w:val="ListParagraph"/>
        <w:numPr>
          <w:ilvl w:val="0"/>
          <w:numId w:val="1"/>
        </w:numPr>
        <w:tabs>
          <w:tab w:val="left" w:pos="1560"/>
        </w:tabs>
        <w:ind w:right="215" w:firstLine="720"/>
        <w:jc w:val="both"/>
      </w:pPr>
      <w:r>
        <w:t>The Agency shall ensure that “certified businesses” (as defined in Section 310 of the Executive Law of the State of New York) shall be given the opportunity for meaningful participation in the</w:t>
      </w:r>
      <w:r>
        <w:t xml:space="preserve"> performance of Agency contracts and to identify those Agency contracts for which certified</w:t>
      </w:r>
      <w:r>
        <w:rPr>
          <w:spacing w:val="40"/>
        </w:rPr>
        <w:t xml:space="preserve"> </w:t>
      </w:r>
      <w:r>
        <w:t>businesses may best bid to actively and affirmatively promote and assist their participation in the performance of Agency contracts so as to facilitate the award of</w:t>
      </w:r>
      <w:r>
        <w:t xml:space="preserve"> a fair share of Agency contracts to such </w:t>
      </w:r>
      <w:r>
        <w:rPr>
          <w:spacing w:val="-2"/>
        </w:rPr>
        <w:t>businesses.</w:t>
      </w:r>
    </w:p>
    <w:p w14:paraId="5C91D61D" w14:textId="77777777" w:rsidR="000F2896" w:rsidRDefault="000F2896">
      <w:pPr>
        <w:pStyle w:val="BodyText"/>
      </w:pPr>
    </w:p>
    <w:p w14:paraId="61CFEEB9" w14:textId="77777777" w:rsidR="000F2896" w:rsidRDefault="001A22D5">
      <w:pPr>
        <w:pStyle w:val="BodyText"/>
        <w:tabs>
          <w:tab w:val="left" w:pos="1559"/>
        </w:tabs>
        <w:ind w:left="120"/>
      </w:pPr>
      <w:r>
        <w:t>SECTION</w:t>
      </w:r>
      <w:r>
        <w:rPr>
          <w:spacing w:val="-7"/>
        </w:rPr>
        <w:t xml:space="preserve"> </w:t>
      </w:r>
      <w:r>
        <w:rPr>
          <w:spacing w:val="-5"/>
        </w:rPr>
        <w:t>6.</w:t>
      </w:r>
      <w:r>
        <w:tab/>
        <w:t>POLICY</w:t>
      </w:r>
      <w:r>
        <w:rPr>
          <w:spacing w:val="-2"/>
        </w:rPr>
        <w:t xml:space="preserve"> </w:t>
      </w:r>
      <w:r>
        <w:t>REVIEW.</w:t>
      </w:r>
      <w:r>
        <w:rPr>
          <w:spacing w:val="53"/>
        </w:rPr>
        <w:t xml:space="preserve"> </w:t>
      </w:r>
      <w:r>
        <w:t>This</w:t>
      </w:r>
      <w:r>
        <w:rPr>
          <w:spacing w:val="-1"/>
        </w:rPr>
        <w:t xml:space="preserve"> </w:t>
      </w:r>
      <w:r>
        <w:t>policy</w:t>
      </w:r>
      <w:r>
        <w:rPr>
          <w:spacing w:val="-1"/>
        </w:rPr>
        <w:t xml:space="preserve"> </w:t>
      </w:r>
      <w:r>
        <w:t>will</w:t>
      </w:r>
      <w:r>
        <w:rPr>
          <w:spacing w:val="-2"/>
        </w:rPr>
        <w:t xml:space="preserve"> </w:t>
      </w:r>
      <w:r>
        <w:t>be</w:t>
      </w:r>
      <w:r>
        <w:rPr>
          <w:spacing w:val="-1"/>
        </w:rPr>
        <w:t xml:space="preserve"> </w:t>
      </w:r>
      <w:r>
        <w:t>reviewed</w:t>
      </w:r>
      <w:r>
        <w:rPr>
          <w:spacing w:val="-1"/>
        </w:rPr>
        <w:t xml:space="preserve"> </w:t>
      </w:r>
      <w:r>
        <w:rPr>
          <w:spacing w:val="-2"/>
        </w:rPr>
        <w:t>annually.</w:t>
      </w:r>
    </w:p>
    <w:sectPr w:rsidR="000F2896">
      <w:pgSz w:w="12240" w:h="15840"/>
      <w:pgMar w:top="1620" w:right="1220" w:bottom="1120" w:left="132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6188" w14:textId="77777777" w:rsidR="001A22D5" w:rsidRDefault="001A22D5">
      <w:r>
        <w:separator/>
      </w:r>
    </w:p>
  </w:endnote>
  <w:endnote w:type="continuationSeparator" w:id="0">
    <w:p w14:paraId="07693501" w14:textId="77777777" w:rsidR="001A22D5" w:rsidRDefault="001A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1DC8" w14:textId="77777777" w:rsidR="000F2896" w:rsidRDefault="001A22D5">
    <w:pPr>
      <w:pStyle w:val="BodyText"/>
      <w:spacing w:line="14" w:lineRule="auto"/>
      <w:rPr>
        <w:sz w:val="20"/>
      </w:rPr>
    </w:pPr>
    <w:r>
      <w:pict w14:anchorId="6DF638D0">
        <v:shapetype id="_x0000_t202" coordsize="21600,21600" o:spt="202" path="m,l,21600r21600,l21600,xe">
          <v:stroke joinstyle="miter"/>
          <v:path gradientshapeok="t" o:connecttype="rect"/>
        </v:shapetype>
        <v:shape id="docshape1" o:spid="_x0000_s1027" type="#_x0000_t202" alt="" style="position:absolute;margin-left:71pt;margin-top:747.25pt;width:105.65pt;height:9.8pt;z-index:-15818752;mso-wrap-style:square;mso-wrap-edited:f;mso-width-percent:0;mso-height-percent:0;mso-position-horizontal-relative:page;mso-position-vertical-relative:page;mso-width-percent:0;mso-height-percent:0;v-text-anchor:top" filled="f" stroked="f">
          <v:textbox inset="0,0,0,0">
            <w:txbxContent>
              <w:p w14:paraId="75592522" w14:textId="77777777" w:rsidR="000F2896" w:rsidRDefault="001A22D5">
                <w:pPr>
                  <w:spacing w:before="14"/>
                  <w:ind w:left="20"/>
                  <w:rPr>
                    <w:sz w:val="14"/>
                  </w:rPr>
                </w:pPr>
                <w:r>
                  <w:rPr>
                    <w:sz w:val="14"/>
                  </w:rPr>
                  <w:t xml:space="preserve">048960.00000 Business </w:t>
                </w:r>
                <w:proofErr w:type="spellStart"/>
                <w:r>
                  <w:rPr>
                    <w:spacing w:val="-2"/>
                    <w:sz w:val="14"/>
                  </w:rPr>
                  <w:t>18608339v1</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D5A" w14:textId="77777777" w:rsidR="000F2896" w:rsidRDefault="001A22D5">
    <w:pPr>
      <w:pStyle w:val="BodyText"/>
      <w:spacing w:line="14" w:lineRule="auto"/>
      <w:rPr>
        <w:sz w:val="20"/>
      </w:rPr>
    </w:pPr>
    <w:r>
      <w:pict w14:anchorId="6A4555C9">
        <v:shapetype id="_x0000_t202" coordsize="21600,21600" o:spt="202" path="m,l,21600r21600,l21600,xe">
          <v:stroke joinstyle="miter"/>
          <v:path gradientshapeok="t" o:connecttype="rect"/>
        </v:shapetype>
        <v:shape id="docshape2" o:spid="_x0000_s1026" type="#_x0000_t202" alt="" style="position:absolute;margin-left:300.25pt;margin-top:734.75pt;width:12.5pt;height:14.2pt;z-index:-15818240;mso-wrap-style:square;mso-wrap-edited:f;mso-width-percent:0;mso-height-percent:0;mso-position-horizontal-relative:page;mso-position-vertical-relative:page;mso-width-percent:0;mso-height-percent:0;v-text-anchor:top" filled="f" stroked="f">
          <v:textbox inset="0,0,0,0">
            <w:txbxContent>
              <w:p w14:paraId="2C82F621" w14:textId="77777777" w:rsidR="000F2896" w:rsidRDefault="001A22D5">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r>
      <w:pict w14:anchorId="667FB672">
        <v:shape id="docshape3" o:spid="_x0000_s1025" type="#_x0000_t202" alt="" style="position:absolute;margin-left:71pt;margin-top:747.25pt;width:105.65pt;height:9.8pt;z-index:-15817728;mso-wrap-style:square;mso-wrap-edited:f;mso-width-percent:0;mso-height-percent:0;mso-position-horizontal-relative:page;mso-position-vertical-relative:page;mso-width-percent:0;mso-height-percent:0;v-text-anchor:top" filled="f" stroked="f">
          <v:textbox inset="0,0,0,0">
            <w:txbxContent>
              <w:p w14:paraId="40DA7FD3" w14:textId="77777777" w:rsidR="000F2896" w:rsidRDefault="001A22D5">
                <w:pPr>
                  <w:spacing w:before="14"/>
                  <w:ind w:left="20"/>
                  <w:rPr>
                    <w:sz w:val="14"/>
                  </w:rPr>
                </w:pPr>
                <w:r>
                  <w:rPr>
                    <w:sz w:val="14"/>
                  </w:rPr>
                  <w:t xml:space="preserve">048960.00000 Business </w:t>
                </w:r>
                <w:proofErr w:type="spellStart"/>
                <w:r>
                  <w:rPr>
                    <w:spacing w:val="-2"/>
                    <w:sz w:val="14"/>
                  </w:rPr>
                  <w:t>18608339v1</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C56E" w14:textId="77777777" w:rsidR="001A22D5" w:rsidRDefault="001A22D5">
      <w:r>
        <w:separator/>
      </w:r>
    </w:p>
  </w:footnote>
  <w:footnote w:type="continuationSeparator" w:id="0">
    <w:p w14:paraId="77FCF889" w14:textId="77777777" w:rsidR="001A22D5" w:rsidRDefault="001A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A39"/>
    <w:multiLevelType w:val="hybridMultilevel"/>
    <w:tmpl w:val="248A4D86"/>
    <w:lvl w:ilvl="0" w:tplc="6AEEBC08">
      <w:start w:val="2"/>
      <w:numFmt w:val="upperLetter"/>
      <w:lvlText w:val="(%1)"/>
      <w:lvlJc w:val="left"/>
      <w:pPr>
        <w:ind w:left="1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F918D256">
      <w:numFmt w:val="bullet"/>
      <w:lvlText w:val="•"/>
      <w:lvlJc w:val="left"/>
      <w:pPr>
        <w:ind w:left="1078" w:hanging="720"/>
      </w:pPr>
      <w:rPr>
        <w:rFonts w:hint="default"/>
        <w:lang w:val="en-US" w:eastAsia="en-US" w:bidi="ar-SA"/>
      </w:rPr>
    </w:lvl>
    <w:lvl w:ilvl="2" w:tplc="CB7E39C2">
      <w:numFmt w:val="bullet"/>
      <w:lvlText w:val="•"/>
      <w:lvlJc w:val="left"/>
      <w:pPr>
        <w:ind w:left="2036" w:hanging="720"/>
      </w:pPr>
      <w:rPr>
        <w:rFonts w:hint="default"/>
        <w:lang w:val="en-US" w:eastAsia="en-US" w:bidi="ar-SA"/>
      </w:rPr>
    </w:lvl>
    <w:lvl w:ilvl="3" w:tplc="2F0C4B56">
      <w:numFmt w:val="bullet"/>
      <w:lvlText w:val="•"/>
      <w:lvlJc w:val="left"/>
      <w:pPr>
        <w:ind w:left="2994" w:hanging="720"/>
      </w:pPr>
      <w:rPr>
        <w:rFonts w:hint="default"/>
        <w:lang w:val="en-US" w:eastAsia="en-US" w:bidi="ar-SA"/>
      </w:rPr>
    </w:lvl>
    <w:lvl w:ilvl="4" w:tplc="8A18363E">
      <w:numFmt w:val="bullet"/>
      <w:lvlText w:val="•"/>
      <w:lvlJc w:val="left"/>
      <w:pPr>
        <w:ind w:left="3952" w:hanging="720"/>
      </w:pPr>
      <w:rPr>
        <w:rFonts w:hint="default"/>
        <w:lang w:val="en-US" w:eastAsia="en-US" w:bidi="ar-SA"/>
      </w:rPr>
    </w:lvl>
    <w:lvl w:ilvl="5" w:tplc="64AA27C0">
      <w:numFmt w:val="bullet"/>
      <w:lvlText w:val="•"/>
      <w:lvlJc w:val="left"/>
      <w:pPr>
        <w:ind w:left="4910" w:hanging="720"/>
      </w:pPr>
      <w:rPr>
        <w:rFonts w:hint="default"/>
        <w:lang w:val="en-US" w:eastAsia="en-US" w:bidi="ar-SA"/>
      </w:rPr>
    </w:lvl>
    <w:lvl w:ilvl="6" w:tplc="7422C13A">
      <w:numFmt w:val="bullet"/>
      <w:lvlText w:val="•"/>
      <w:lvlJc w:val="left"/>
      <w:pPr>
        <w:ind w:left="5868" w:hanging="720"/>
      </w:pPr>
      <w:rPr>
        <w:rFonts w:hint="default"/>
        <w:lang w:val="en-US" w:eastAsia="en-US" w:bidi="ar-SA"/>
      </w:rPr>
    </w:lvl>
    <w:lvl w:ilvl="7" w:tplc="412A76F6">
      <w:numFmt w:val="bullet"/>
      <w:lvlText w:val="•"/>
      <w:lvlJc w:val="left"/>
      <w:pPr>
        <w:ind w:left="6826" w:hanging="720"/>
      </w:pPr>
      <w:rPr>
        <w:rFonts w:hint="default"/>
        <w:lang w:val="en-US" w:eastAsia="en-US" w:bidi="ar-SA"/>
      </w:rPr>
    </w:lvl>
    <w:lvl w:ilvl="8" w:tplc="400A525C">
      <w:numFmt w:val="bullet"/>
      <w:lvlText w:val="•"/>
      <w:lvlJc w:val="left"/>
      <w:pPr>
        <w:ind w:left="7784" w:hanging="720"/>
      </w:pPr>
      <w:rPr>
        <w:rFonts w:hint="default"/>
        <w:lang w:val="en-US" w:eastAsia="en-US" w:bidi="ar-SA"/>
      </w:rPr>
    </w:lvl>
  </w:abstractNum>
  <w:abstractNum w:abstractNumId="1" w15:restartNumberingAfterBreak="0">
    <w:nsid w:val="129223DE"/>
    <w:multiLevelType w:val="hybridMultilevel"/>
    <w:tmpl w:val="8F486824"/>
    <w:lvl w:ilvl="0" w:tplc="88A0FA60">
      <w:start w:val="1"/>
      <w:numFmt w:val="upperLetter"/>
      <w:lvlText w:val="(%1)"/>
      <w:lvlJc w:val="left"/>
      <w:pPr>
        <w:ind w:left="1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014ACAC2">
      <w:start w:val="1"/>
      <w:numFmt w:val="decimal"/>
      <w:lvlText w:val="(%2)"/>
      <w:lvlJc w:val="left"/>
      <w:pPr>
        <w:ind w:left="84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tplc="2EFCDC70">
      <w:numFmt w:val="bullet"/>
      <w:lvlText w:val="•"/>
      <w:lvlJc w:val="left"/>
      <w:pPr>
        <w:ind w:left="1824" w:hanging="720"/>
      </w:pPr>
      <w:rPr>
        <w:rFonts w:hint="default"/>
        <w:lang w:val="en-US" w:eastAsia="en-US" w:bidi="ar-SA"/>
      </w:rPr>
    </w:lvl>
    <w:lvl w:ilvl="3" w:tplc="66066A4C">
      <w:numFmt w:val="bullet"/>
      <w:lvlText w:val="•"/>
      <w:lvlJc w:val="left"/>
      <w:pPr>
        <w:ind w:left="2808" w:hanging="720"/>
      </w:pPr>
      <w:rPr>
        <w:rFonts w:hint="default"/>
        <w:lang w:val="en-US" w:eastAsia="en-US" w:bidi="ar-SA"/>
      </w:rPr>
    </w:lvl>
    <w:lvl w:ilvl="4" w:tplc="47AAA676">
      <w:numFmt w:val="bullet"/>
      <w:lvlText w:val="•"/>
      <w:lvlJc w:val="left"/>
      <w:pPr>
        <w:ind w:left="3793" w:hanging="720"/>
      </w:pPr>
      <w:rPr>
        <w:rFonts w:hint="default"/>
        <w:lang w:val="en-US" w:eastAsia="en-US" w:bidi="ar-SA"/>
      </w:rPr>
    </w:lvl>
    <w:lvl w:ilvl="5" w:tplc="AA6EF24C">
      <w:numFmt w:val="bullet"/>
      <w:lvlText w:val="•"/>
      <w:lvlJc w:val="left"/>
      <w:pPr>
        <w:ind w:left="4777" w:hanging="720"/>
      </w:pPr>
      <w:rPr>
        <w:rFonts w:hint="default"/>
        <w:lang w:val="en-US" w:eastAsia="en-US" w:bidi="ar-SA"/>
      </w:rPr>
    </w:lvl>
    <w:lvl w:ilvl="6" w:tplc="066A5CE0">
      <w:numFmt w:val="bullet"/>
      <w:lvlText w:val="•"/>
      <w:lvlJc w:val="left"/>
      <w:pPr>
        <w:ind w:left="5762" w:hanging="720"/>
      </w:pPr>
      <w:rPr>
        <w:rFonts w:hint="default"/>
        <w:lang w:val="en-US" w:eastAsia="en-US" w:bidi="ar-SA"/>
      </w:rPr>
    </w:lvl>
    <w:lvl w:ilvl="7" w:tplc="86BC4284">
      <w:numFmt w:val="bullet"/>
      <w:lvlText w:val="•"/>
      <w:lvlJc w:val="left"/>
      <w:pPr>
        <w:ind w:left="6746" w:hanging="720"/>
      </w:pPr>
      <w:rPr>
        <w:rFonts w:hint="default"/>
        <w:lang w:val="en-US" w:eastAsia="en-US" w:bidi="ar-SA"/>
      </w:rPr>
    </w:lvl>
    <w:lvl w:ilvl="8" w:tplc="0CA2ED46">
      <w:numFmt w:val="bullet"/>
      <w:lvlText w:val="•"/>
      <w:lvlJc w:val="left"/>
      <w:pPr>
        <w:ind w:left="7731" w:hanging="720"/>
      </w:pPr>
      <w:rPr>
        <w:rFonts w:hint="default"/>
        <w:lang w:val="en-US" w:eastAsia="en-US" w:bidi="ar-SA"/>
      </w:rPr>
    </w:lvl>
  </w:abstractNum>
  <w:abstractNum w:abstractNumId="2" w15:restartNumberingAfterBreak="0">
    <w:nsid w:val="1B5A0E78"/>
    <w:multiLevelType w:val="hybridMultilevel"/>
    <w:tmpl w:val="96A014C4"/>
    <w:lvl w:ilvl="0" w:tplc="1DBAE292">
      <w:start w:val="1"/>
      <w:numFmt w:val="upperLetter"/>
      <w:lvlText w:val="(%1)"/>
      <w:lvlJc w:val="left"/>
      <w:pPr>
        <w:ind w:left="1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798421CE">
      <w:start w:val="1"/>
      <w:numFmt w:val="decimal"/>
      <w:lvlText w:val="(%2)"/>
      <w:lvlJc w:val="left"/>
      <w:pPr>
        <w:ind w:left="84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tplc="5080B5C4">
      <w:numFmt w:val="bullet"/>
      <w:lvlText w:val="•"/>
      <w:lvlJc w:val="left"/>
      <w:pPr>
        <w:ind w:left="1824" w:hanging="720"/>
      </w:pPr>
      <w:rPr>
        <w:rFonts w:hint="default"/>
        <w:lang w:val="en-US" w:eastAsia="en-US" w:bidi="ar-SA"/>
      </w:rPr>
    </w:lvl>
    <w:lvl w:ilvl="3" w:tplc="A3208DB4">
      <w:numFmt w:val="bullet"/>
      <w:lvlText w:val="•"/>
      <w:lvlJc w:val="left"/>
      <w:pPr>
        <w:ind w:left="2808" w:hanging="720"/>
      </w:pPr>
      <w:rPr>
        <w:rFonts w:hint="default"/>
        <w:lang w:val="en-US" w:eastAsia="en-US" w:bidi="ar-SA"/>
      </w:rPr>
    </w:lvl>
    <w:lvl w:ilvl="4" w:tplc="D12629DE">
      <w:numFmt w:val="bullet"/>
      <w:lvlText w:val="•"/>
      <w:lvlJc w:val="left"/>
      <w:pPr>
        <w:ind w:left="3793" w:hanging="720"/>
      </w:pPr>
      <w:rPr>
        <w:rFonts w:hint="default"/>
        <w:lang w:val="en-US" w:eastAsia="en-US" w:bidi="ar-SA"/>
      </w:rPr>
    </w:lvl>
    <w:lvl w:ilvl="5" w:tplc="7DEC4866">
      <w:numFmt w:val="bullet"/>
      <w:lvlText w:val="•"/>
      <w:lvlJc w:val="left"/>
      <w:pPr>
        <w:ind w:left="4777" w:hanging="720"/>
      </w:pPr>
      <w:rPr>
        <w:rFonts w:hint="default"/>
        <w:lang w:val="en-US" w:eastAsia="en-US" w:bidi="ar-SA"/>
      </w:rPr>
    </w:lvl>
    <w:lvl w:ilvl="6" w:tplc="F36AB1BE">
      <w:numFmt w:val="bullet"/>
      <w:lvlText w:val="•"/>
      <w:lvlJc w:val="left"/>
      <w:pPr>
        <w:ind w:left="5762" w:hanging="720"/>
      </w:pPr>
      <w:rPr>
        <w:rFonts w:hint="default"/>
        <w:lang w:val="en-US" w:eastAsia="en-US" w:bidi="ar-SA"/>
      </w:rPr>
    </w:lvl>
    <w:lvl w:ilvl="7" w:tplc="450060CC">
      <w:numFmt w:val="bullet"/>
      <w:lvlText w:val="•"/>
      <w:lvlJc w:val="left"/>
      <w:pPr>
        <w:ind w:left="6746" w:hanging="720"/>
      </w:pPr>
      <w:rPr>
        <w:rFonts w:hint="default"/>
        <w:lang w:val="en-US" w:eastAsia="en-US" w:bidi="ar-SA"/>
      </w:rPr>
    </w:lvl>
    <w:lvl w:ilvl="8" w:tplc="044E89CE">
      <w:numFmt w:val="bullet"/>
      <w:lvlText w:val="•"/>
      <w:lvlJc w:val="left"/>
      <w:pPr>
        <w:ind w:left="7731"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2896"/>
    <w:rsid w:val="000F2896"/>
    <w:rsid w:val="001A22D5"/>
    <w:rsid w:val="005B11D4"/>
    <w:rsid w:val="00671B6C"/>
    <w:rsid w:val="0068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F0143"/>
  <w15:docId w15:val="{C6CB4006-2C25-4C46-AFA5-700B11B8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right="217" w:firstLine="720"/>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71B6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2</cp:revision>
  <dcterms:created xsi:type="dcterms:W3CDTF">2023-01-09T17:25:00Z</dcterms:created>
  <dcterms:modified xsi:type="dcterms:W3CDTF">2023-01-09T17:25:00Z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PDFium</vt:lpwstr>
  </property>
  <property fmtid="{D5CDD505-2E9C-101B-9397-08002B2CF9AE}" pid="4" name="LastSaved">
    <vt:filetime>2023-01-09T00:00:00Z</vt:filetime>
  </property>
  <property fmtid="{D5CDD505-2E9C-101B-9397-08002B2CF9AE}" pid="5" name="Producer">
    <vt:lpwstr>GPL Ghostscript 9.27</vt:lpwstr>
  </property>
</Properties>
</file>