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7D" w:rsidRDefault="00291E7D" w:rsidP="00291E7D">
      <w:pPr>
        <w:jc w:val="center"/>
        <w:rPr>
          <w:rFonts w:eastAsia="Times New Roman" w:cs="Arial"/>
          <w:b/>
          <w:color w:val="000000"/>
          <w:sz w:val="28"/>
          <w:szCs w:val="28"/>
          <w:u w:val="single"/>
        </w:rPr>
      </w:pPr>
      <w:r>
        <w:rPr>
          <w:rFonts w:eastAsia="Times New Roman" w:cs="Arial"/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844800" cy="2844800"/>
            <wp:effectExtent l="0" t="0" r="0" b="0"/>
            <wp:docPr id="3" name="Picture 3" descr="Macintosh HD:Users:FeliciaKalan:Desktop: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eliciaKalan:Desktop:download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7D" w:rsidRDefault="00291E7D" w:rsidP="00993E71">
      <w:pPr>
        <w:rPr>
          <w:rFonts w:eastAsia="Times New Roman" w:cs="Arial"/>
          <w:b/>
          <w:color w:val="000000"/>
          <w:sz w:val="28"/>
          <w:szCs w:val="28"/>
          <w:u w:val="single"/>
        </w:rPr>
      </w:pPr>
    </w:p>
    <w:p w:rsidR="00291E7D" w:rsidRDefault="00291E7D" w:rsidP="00993E71">
      <w:pPr>
        <w:rPr>
          <w:rFonts w:eastAsia="Times New Roman" w:cs="Arial"/>
          <w:b/>
          <w:color w:val="000000"/>
          <w:sz w:val="28"/>
          <w:szCs w:val="28"/>
          <w:u w:val="single"/>
        </w:rPr>
      </w:pPr>
    </w:p>
    <w:p w:rsidR="00993E71" w:rsidRPr="00993E71" w:rsidRDefault="00291E7D" w:rsidP="00993E71">
      <w:pPr>
        <w:rPr>
          <w:rFonts w:eastAsia="Times New Roman" w:cs="Arial"/>
          <w:b/>
          <w:color w:val="000000"/>
          <w:sz w:val="28"/>
          <w:szCs w:val="28"/>
          <w:u w:val="single"/>
        </w:rPr>
      </w:pPr>
      <w:r>
        <w:rPr>
          <w:rFonts w:eastAsia="Times New Roman" w:cs="Arial"/>
          <w:b/>
          <w:color w:val="000000"/>
          <w:sz w:val="28"/>
          <w:szCs w:val="28"/>
          <w:u w:val="single"/>
        </w:rPr>
        <w:t xml:space="preserve">Additional Notes for </w:t>
      </w:r>
      <w:r w:rsidR="00993E71" w:rsidRPr="00993E71">
        <w:rPr>
          <w:rFonts w:eastAsia="Times New Roman" w:cs="Arial"/>
          <w:b/>
          <w:color w:val="000000"/>
          <w:sz w:val="28"/>
          <w:szCs w:val="28"/>
          <w:u w:val="single"/>
        </w:rPr>
        <w:t>Cost Benefit Analysis</w:t>
      </w:r>
      <w:r>
        <w:rPr>
          <w:rFonts w:eastAsia="Times New Roman" w:cs="Arial"/>
          <w:b/>
          <w:color w:val="000000"/>
          <w:sz w:val="28"/>
          <w:szCs w:val="28"/>
          <w:u w:val="single"/>
        </w:rPr>
        <w:t>:</w:t>
      </w:r>
    </w:p>
    <w:p w:rsidR="00993E71" w:rsidRPr="00993E71" w:rsidRDefault="00993E71" w:rsidP="00993E71">
      <w:pPr>
        <w:rPr>
          <w:rFonts w:eastAsia="Times New Roman" w:cs="Arial"/>
          <w:color w:val="000000"/>
          <w:u w:val="single"/>
        </w:rPr>
      </w:pPr>
    </w:p>
    <w:p w:rsidR="00993E71" w:rsidRPr="00993E71" w:rsidRDefault="00993E71" w:rsidP="00993E71">
      <w:pPr>
        <w:rPr>
          <w:rFonts w:eastAsia="Times New Roman" w:cs="Arial"/>
          <w:color w:val="000000"/>
        </w:rPr>
      </w:pPr>
      <w:r w:rsidRPr="00993E71">
        <w:rPr>
          <w:color w:val="000000"/>
        </w:rPr>
        <w:t xml:space="preserve">KCE NY 2, LLC is a BESS project consisting of 169-megawatt energy battery storage. </w:t>
      </w:r>
      <w:r>
        <w:rPr>
          <w:rFonts w:eastAsia="Times New Roman" w:cs="Arial"/>
          <w:color w:val="000000"/>
        </w:rPr>
        <w:t>Current MIDA</w:t>
      </w:r>
      <w:r w:rsidRPr="00993E71">
        <w:rPr>
          <w:rFonts w:eastAsia="Times New Roman" w:cs="Arial"/>
          <w:color w:val="000000"/>
        </w:rPr>
        <w:t xml:space="preserve"> UTEP Policy suggests a 15-year </w:t>
      </w:r>
      <w:r>
        <w:rPr>
          <w:rFonts w:eastAsia="Times New Roman" w:cs="Arial"/>
          <w:color w:val="000000"/>
        </w:rPr>
        <w:t>PILOT for small energy projects, wind and solar to meet sustainability goals. Battery</w:t>
      </w:r>
      <w:r w:rsidRPr="00993E71">
        <w:rPr>
          <w:rFonts w:eastAsia="Times New Roman" w:cs="Arial"/>
          <w:color w:val="000000"/>
        </w:rPr>
        <w:t xml:space="preserve"> storage is also listed within the CLCPA Act goals. As we continue to work toward sustainability goals, battery storage infrastructure is needed to ensure</w:t>
      </w:r>
      <w:r>
        <w:rPr>
          <w:rFonts w:eastAsia="Times New Roman" w:cs="Arial"/>
          <w:color w:val="000000"/>
        </w:rPr>
        <w:t xml:space="preserve"> grid reliability as the Town meets state energy requirements.</w:t>
      </w:r>
    </w:p>
    <w:p w:rsidR="00993E71" w:rsidRPr="00993E71" w:rsidRDefault="00993E71" w:rsidP="00993E71">
      <w:pPr>
        <w:rPr>
          <w:color w:val="000000"/>
        </w:rPr>
      </w:pPr>
    </w:p>
    <w:p w:rsidR="00993E71" w:rsidRPr="00993E71" w:rsidRDefault="00993E71" w:rsidP="00993E71">
      <w:pPr>
        <w:rPr>
          <w:color w:val="000000"/>
        </w:rPr>
      </w:pPr>
      <w:r w:rsidRPr="00993E71">
        <w:rPr>
          <w:color w:val="000000"/>
        </w:rPr>
        <w:t>The applicant has been clear that without the PILOT agreement, this project would not move forward. The MIDA is pursuing a 15-year PILOT agreement after performing a cost-benefit analysis while also considering the following benefits not included in the cost-benefit analysis:</w:t>
      </w:r>
    </w:p>
    <w:p w:rsidR="00993E71" w:rsidRPr="00993E71" w:rsidRDefault="00993E71" w:rsidP="00993E71">
      <w:pPr>
        <w:rPr>
          <w:color w:val="000000"/>
        </w:rPr>
      </w:pPr>
    </w:p>
    <w:p w:rsidR="00993E71" w:rsidRPr="00993E71" w:rsidRDefault="00291E7D" w:rsidP="00993E71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u w:val="single"/>
        </w:rPr>
      </w:pPr>
      <w:r w:rsidRPr="00291E7D">
        <w:rPr>
          <w:b/>
          <w:color w:val="000000"/>
        </w:rPr>
        <w:t>Sustainability-</w:t>
      </w:r>
      <w:r>
        <w:rPr>
          <w:color w:val="000000"/>
        </w:rPr>
        <w:t xml:space="preserve"> </w:t>
      </w:r>
      <w:r w:rsidR="00993E71" w:rsidRPr="00993E71">
        <w:rPr>
          <w:color w:val="000000"/>
        </w:rPr>
        <w:t>Helps the Town of Montgomery achieve the State of NY Renewable energy goals as a battery storage project.</w:t>
      </w:r>
    </w:p>
    <w:p w:rsidR="00993E71" w:rsidRPr="00993E71" w:rsidRDefault="00993E71" w:rsidP="00993E71">
      <w:pPr>
        <w:pStyle w:val="ListParagraph"/>
        <w:rPr>
          <w:rFonts w:eastAsia="Times New Roman" w:cs="Arial"/>
          <w:color w:val="000000"/>
          <w:u w:val="single"/>
        </w:rPr>
      </w:pPr>
    </w:p>
    <w:p w:rsidR="00993E71" w:rsidRPr="00993E71" w:rsidRDefault="00291E7D" w:rsidP="00993E71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u w:val="single"/>
        </w:rPr>
      </w:pPr>
      <w:r>
        <w:rPr>
          <w:b/>
          <w:color w:val="000000"/>
        </w:rPr>
        <w:t>Local Contractors</w:t>
      </w:r>
      <w:r w:rsidRPr="00291E7D">
        <w:rPr>
          <w:b/>
          <w:color w:val="000000"/>
        </w:rPr>
        <w:t>-</w:t>
      </w:r>
      <w:r>
        <w:rPr>
          <w:color w:val="000000"/>
        </w:rPr>
        <w:t xml:space="preserve"> </w:t>
      </w:r>
      <w:r w:rsidR="00993E71" w:rsidRPr="00993E71">
        <w:rPr>
          <w:color w:val="000000"/>
        </w:rPr>
        <w:t>There will be part-time and potential full-time contractors assessing the property, however the applicant chose not to include those employme</w:t>
      </w:r>
      <w:r w:rsidR="00993E71">
        <w:rPr>
          <w:color w:val="000000"/>
        </w:rPr>
        <w:t>nt numbers on the application and that is not included in the analysis</w:t>
      </w:r>
      <w:r w:rsidR="00993E71" w:rsidRPr="00993E71">
        <w:rPr>
          <w:color w:val="000000"/>
        </w:rPr>
        <w:t xml:space="preserve">  </w:t>
      </w:r>
    </w:p>
    <w:p w:rsidR="00993E71" w:rsidRPr="00993E71" w:rsidRDefault="00993E71" w:rsidP="00993E71">
      <w:pPr>
        <w:rPr>
          <w:rFonts w:eastAsia="Times New Roman" w:cs="Arial"/>
          <w:color w:val="000000"/>
          <w:u w:val="single"/>
        </w:rPr>
      </w:pPr>
    </w:p>
    <w:p w:rsidR="00993E71" w:rsidRPr="00993E71" w:rsidRDefault="00993E71" w:rsidP="00993E71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u w:val="single"/>
        </w:rPr>
      </w:pPr>
      <w:r w:rsidRPr="00291E7D">
        <w:rPr>
          <w:b/>
          <w:color w:val="000000"/>
        </w:rPr>
        <w:t>Ratepayer benefits</w:t>
      </w:r>
      <w:r w:rsidR="00291E7D">
        <w:rPr>
          <w:b/>
          <w:color w:val="000000"/>
        </w:rPr>
        <w:t>-</w:t>
      </w:r>
      <w:r w:rsidRPr="00993E71">
        <w:rPr>
          <w:color w:val="000000"/>
        </w:rPr>
        <w:t xml:space="preserve"> </w:t>
      </w:r>
      <w:proofErr w:type="gramStart"/>
      <w:r w:rsidRPr="00993E71">
        <w:rPr>
          <w:color w:val="000000"/>
        </w:rPr>
        <w:t>exceed</w:t>
      </w:r>
      <w:proofErr w:type="gramEnd"/>
      <w:r w:rsidRPr="00993E71">
        <w:rPr>
          <w:color w:val="000000"/>
        </w:rPr>
        <w:t xml:space="preserve"> $3 billion statewide for 2,800-3,600 MW of energy storage (according to </w:t>
      </w:r>
      <w:proofErr w:type="spellStart"/>
      <w:r w:rsidRPr="00993E71">
        <w:rPr>
          <w:color w:val="000000"/>
        </w:rPr>
        <w:t>Acelerex</w:t>
      </w:r>
      <w:proofErr w:type="spellEnd"/>
      <w:r w:rsidRPr="00993E71">
        <w:rPr>
          <w:color w:val="000000"/>
        </w:rPr>
        <w:t xml:space="preserve"> Consulting Firm). </w:t>
      </w:r>
    </w:p>
    <w:p w:rsidR="00993E71" w:rsidRPr="00993E71" w:rsidRDefault="00993E71" w:rsidP="00993E71">
      <w:pPr>
        <w:rPr>
          <w:rFonts w:eastAsia="Times New Roman" w:cs="Arial"/>
          <w:color w:val="000000"/>
          <w:u w:val="single"/>
        </w:rPr>
      </w:pPr>
    </w:p>
    <w:p w:rsidR="00993E71" w:rsidRPr="00993E71" w:rsidRDefault="00291E7D" w:rsidP="00993E71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u w:val="single"/>
        </w:rPr>
      </w:pPr>
      <w:r w:rsidRPr="00291E7D">
        <w:rPr>
          <w:b/>
          <w:color w:val="000000"/>
        </w:rPr>
        <w:t>Grid Reliability-</w:t>
      </w:r>
      <w:r>
        <w:rPr>
          <w:color w:val="000000"/>
        </w:rPr>
        <w:t xml:space="preserve"> </w:t>
      </w:r>
      <w:r w:rsidR="00993E71" w:rsidRPr="00993E71">
        <w:rPr>
          <w:color w:val="000000"/>
        </w:rPr>
        <w:t xml:space="preserve">This project will help meet peaking needs, and with new standards older fossil fuel plants may be reaching retirement. </w:t>
      </w:r>
    </w:p>
    <w:p w:rsidR="00993E71" w:rsidRPr="00993E71" w:rsidRDefault="00993E71" w:rsidP="00993E71">
      <w:pPr>
        <w:rPr>
          <w:rFonts w:eastAsia="Times New Roman" w:cs="Arial"/>
          <w:color w:val="000000"/>
          <w:u w:val="single"/>
        </w:rPr>
      </w:pPr>
    </w:p>
    <w:p w:rsidR="00993E71" w:rsidRPr="00993E71" w:rsidRDefault="00993E71" w:rsidP="00993E71">
      <w:pPr>
        <w:pStyle w:val="ListParagraph"/>
        <w:rPr>
          <w:rFonts w:eastAsia="Times New Roman" w:cs="Arial"/>
          <w:color w:val="000000"/>
          <w:u w:val="single"/>
        </w:rPr>
      </w:pPr>
    </w:p>
    <w:p w:rsidR="00993E71" w:rsidRPr="00993E71" w:rsidRDefault="00291E7D" w:rsidP="00993E71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u w:val="single"/>
        </w:rPr>
      </w:pPr>
      <w:r w:rsidRPr="00291E7D">
        <w:rPr>
          <w:b/>
          <w:color w:val="000000"/>
        </w:rPr>
        <w:t>Environmental Impact-</w:t>
      </w:r>
      <w:r>
        <w:rPr>
          <w:color w:val="000000"/>
        </w:rPr>
        <w:t xml:space="preserve"> </w:t>
      </w:r>
      <w:r w:rsidR="00993E71">
        <w:rPr>
          <w:color w:val="000000"/>
        </w:rPr>
        <w:t>The</w:t>
      </w:r>
      <w:r w:rsidR="00993E71" w:rsidRPr="00993E71">
        <w:rPr>
          <w:color w:val="000000"/>
        </w:rPr>
        <w:t xml:space="preserve"> NY State CLCPA (Climate Act) goals are to reach 3,000 MW of energy storage by 2030. </w:t>
      </w:r>
      <w:r w:rsidR="00993E71" w:rsidRPr="00993E71">
        <w:rPr>
          <w:rFonts w:cs="Arial"/>
          <w:color w:val="212529"/>
        </w:rPr>
        <w:t>In 2019, New York passed the nation-leading Climate Leadership and Community Protection Act (Climate Act), which codified some of the most aggressive energy and climate goals in the country.</w:t>
      </w:r>
    </w:p>
    <w:p w:rsidR="00993E71" w:rsidRPr="00993E71" w:rsidRDefault="00993E71" w:rsidP="00993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</w:rPr>
      </w:pPr>
      <w:r w:rsidRPr="00993E71">
        <w:rPr>
          <w:rFonts w:eastAsia="Times New Roman" w:cs="Arial"/>
          <w:color w:val="212529"/>
        </w:rPr>
        <w:t>6,000 MW of Solar by 2025</w:t>
      </w:r>
    </w:p>
    <w:p w:rsidR="00993E71" w:rsidRPr="00993E71" w:rsidRDefault="00993E71" w:rsidP="00993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</w:rPr>
      </w:pPr>
      <w:r w:rsidRPr="00993E71">
        <w:rPr>
          <w:rFonts w:eastAsia="Times New Roman" w:cs="Arial"/>
          <w:color w:val="212529"/>
        </w:rPr>
        <w:t>70% Renewable Energy by 2030</w:t>
      </w:r>
    </w:p>
    <w:p w:rsidR="00993E71" w:rsidRPr="00993E71" w:rsidRDefault="00993E71" w:rsidP="00993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</w:rPr>
      </w:pPr>
      <w:r w:rsidRPr="00993E71">
        <w:rPr>
          <w:rFonts w:eastAsia="Times New Roman" w:cs="Arial"/>
          <w:color w:val="222222"/>
          <w:shd w:val="clear" w:color="auto" w:fill="FDF84E"/>
        </w:rPr>
        <w:t>3,000 MW of Energy Storage by 2030</w:t>
      </w:r>
    </w:p>
    <w:p w:rsidR="00993E71" w:rsidRPr="00993E71" w:rsidRDefault="00993E71" w:rsidP="00993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</w:rPr>
      </w:pPr>
      <w:r w:rsidRPr="00993E71">
        <w:rPr>
          <w:rFonts w:eastAsia="Times New Roman" w:cs="Arial"/>
          <w:color w:val="212529"/>
        </w:rPr>
        <w:t>9,000 MW of Offshore Wind by 2035</w:t>
      </w:r>
    </w:p>
    <w:p w:rsidR="00993E71" w:rsidRPr="00993E71" w:rsidRDefault="00993E71" w:rsidP="00993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</w:rPr>
      </w:pPr>
      <w:r w:rsidRPr="00993E71">
        <w:rPr>
          <w:rFonts w:eastAsia="Times New Roman" w:cs="Arial"/>
          <w:color w:val="212529"/>
        </w:rPr>
        <w:t>100% Carbon-free Electricity by 2040</w:t>
      </w:r>
    </w:p>
    <w:p w:rsidR="00993E71" w:rsidRPr="00993E71" w:rsidRDefault="00993E71" w:rsidP="00993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12529"/>
        </w:rPr>
      </w:pPr>
      <w:r w:rsidRPr="00993E71">
        <w:rPr>
          <w:rFonts w:eastAsia="Times New Roman" w:cs="Arial"/>
          <w:color w:val="212529"/>
        </w:rPr>
        <w:t>85% Reduction in GHG Emissions from 1990 levels by 2050 </w:t>
      </w:r>
    </w:p>
    <w:p w:rsidR="00291E7D" w:rsidRDefault="00993E71" w:rsidP="00993E71">
      <w:pPr>
        <w:shd w:val="clear" w:color="auto" w:fill="FFFFFF"/>
        <w:spacing w:before="100" w:beforeAutospacing="1" w:after="100" w:afterAutospacing="1"/>
        <w:ind w:left="720"/>
        <w:rPr>
          <w:rFonts w:cs="Arial"/>
          <w:color w:val="212529"/>
        </w:rPr>
      </w:pPr>
      <w:r>
        <w:rPr>
          <w:rFonts w:cs="Arial"/>
          <w:color w:val="212529"/>
        </w:rPr>
        <w:t>“</w:t>
      </w:r>
      <w:r w:rsidRPr="00993E71">
        <w:rPr>
          <w:rFonts w:cs="Arial"/>
          <w:color w:val="212529"/>
        </w:rPr>
        <w:t>Energy storage will play a crucial role in meeting our State’s ambitious goals. </w:t>
      </w:r>
      <w:r>
        <w:rPr>
          <w:rFonts w:cs="Arial"/>
          <w:color w:val="212529"/>
        </w:rPr>
        <w:t xml:space="preserve"> </w:t>
      </w:r>
      <w:r w:rsidRPr="00993E71">
        <w:rPr>
          <w:rFonts w:cs="Arial"/>
          <w:color w:val="212529"/>
        </w:rPr>
        <w:t xml:space="preserve">Storage will help to integrate clean energy into the grid, reduce costs associated with meeting peak electric demands, and increase efficiency. </w:t>
      </w:r>
    </w:p>
    <w:p w:rsidR="00993E71" w:rsidRDefault="00993E71" w:rsidP="00993E71">
      <w:pPr>
        <w:shd w:val="clear" w:color="auto" w:fill="FFFFFF"/>
        <w:spacing w:before="100" w:beforeAutospacing="1" w:after="100" w:afterAutospacing="1"/>
        <w:ind w:left="720"/>
        <w:rPr>
          <w:rFonts w:cs="Arial"/>
          <w:color w:val="212529"/>
        </w:rPr>
      </w:pPr>
      <w:r w:rsidRPr="00993E71">
        <w:rPr>
          <w:rFonts w:cs="Arial"/>
          <w:color w:val="212529"/>
        </w:rPr>
        <w:t>Additionally, energy storage can stabilize supply during peak electric usage and help keep critical systems online during an outage."</w:t>
      </w:r>
      <w:r w:rsidR="00291E7D">
        <w:rPr>
          <w:rFonts w:cs="Arial"/>
          <w:color w:val="212529"/>
        </w:rPr>
        <w:t xml:space="preserve"> </w:t>
      </w:r>
    </w:p>
    <w:p w:rsidR="00291E7D" w:rsidRDefault="00291E7D" w:rsidP="00993E71">
      <w:pPr>
        <w:shd w:val="clear" w:color="auto" w:fill="FFFFFF"/>
        <w:spacing w:before="100" w:beforeAutospacing="1" w:after="100" w:afterAutospacing="1"/>
        <w:ind w:left="720"/>
        <w:rPr>
          <w:rFonts w:cs="Arial"/>
          <w:color w:val="212529"/>
        </w:rPr>
      </w:pPr>
      <w:r>
        <w:rPr>
          <w:rFonts w:cs="Arial"/>
          <w:color w:val="212529"/>
        </w:rPr>
        <w:t>In order to transition from fossil fuels to renewable energy, battery storage is crucial to ensure reliability to store solar and wind.</w:t>
      </w:r>
      <w:bookmarkStart w:id="0" w:name="_GoBack"/>
      <w:bookmarkEnd w:id="0"/>
    </w:p>
    <w:p w:rsidR="009D6E87" w:rsidRPr="00291E7D" w:rsidRDefault="00291E7D" w:rsidP="00291E7D">
      <w:pPr>
        <w:pStyle w:val="ListParagraph"/>
        <w:numPr>
          <w:ilvl w:val="0"/>
          <w:numId w:val="3"/>
        </w:numPr>
        <w:rPr>
          <w:b/>
        </w:rPr>
      </w:pPr>
      <w:r w:rsidRPr="00291E7D">
        <w:rPr>
          <w:rFonts w:cs="Arial"/>
          <w:b/>
          <w:color w:val="212529"/>
        </w:rPr>
        <w:t>Community Benefit Agreement</w:t>
      </w:r>
      <w:r>
        <w:rPr>
          <w:rFonts w:cs="Arial"/>
          <w:b/>
          <w:color w:val="212529"/>
        </w:rPr>
        <w:t xml:space="preserve">- </w:t>
      </w:r>
      <w:r>
        <w:rPr>
          <w:rFonts w:cs="Arial"/>
          <w:color w:val="212529"/>
        </w:rPr>
        <w:t>Project applicant indicated in the IDA application they would be pursuing a community benefit agreement:</w:t>
      </w:r>
    </w:p>
    <w:p w:rsidR="00291E7D" w:rsidRPr="00291E7D" w:rsidRDefault="00291E7D" w:rsidP="00291E7D">
      <w:pPr>
        <w:pStyle w:val="ListParagraph"/>
        <w:rPr>
          <w:b/>
        </w:rPr>
      </w:pPr>
    </w:p>
    <w:p w:rsidR="00291E7D" w:rsidRPr="00291E7D" w:rsidRDefault="00291E7D" w:rsidP="00291E7D">
      <w:pPr>
        <w:pStyle w:val="ListParagraph"/>
        <w:ind w:left="1440"/>
        <w:rPr>
          <w:b/>
        </w:rPr>
      </w:pPr>
      <w:r>
        <w:rPr>
          <w:b/>
          <w:noProof/>
        </w:rPr>
        <w:drawing>
          <wp:inline distT="0" distB="0" distL="0" distR="0" wp14:anchorId="3395AD85" wp14:editId="102E9B17">
            <wp:extent cx="3238500" cy="1778000"/>
            <wp:effectExtent l="0" t="0" r="12700" b="0"/>
            <wp:docPr id="1" name="Picture 1" descr="Macintosh HD:private:var:folders:sr:3mh5fkcx3pq1ylm536m_n62m0000gn:T:TemporaryItems:Screen Shot 2022-09-23 at 1.13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r:3mh5fkcx3pq1ylm536m_n62m0000gn:T:TemporaryItems:Screen Shot 2022-09-23 at 1.13.0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E7D" w:rsidRPr="00291E7D" w:rsidSect="009D6E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3C1"/>
    <w:multiLevelType w:val="multilevel"/>
    <w:tmpl w:val="14D6B8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3E493626"/>
    <w:multiLevelType w:val="hybridMultilevel"/>
    <w:tmpl w:val="07EC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60571"/>
    <w:multiLevelType w:val="hybridMultilevel"/>
    <w:tmpl w:val="DD36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71"/>
    <w:rsid w:val="00291E7D"/>
    <w:rsid w:val="00993E71"/>
    <w:rsid w:val="009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815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E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3E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93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E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E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3E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93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E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378</Words>
  <Characters>2158</Characters>
  <Application>Microsoft Macintosh Word</Application>
  <DocSecurity>0</DocSecurity>
  <Lines>17</Lines>
  <Paragraphs>5</Paragraphs>
  <ScaleCrop>false</ScaleCrop>
  <Company>UNCHAINED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Kalan</dc:creator>
  <cp:keywords/>
  <dc:description/>
  <cp:lastModifiedBy>Felicia Kalan</cp:lastModifiedBy>
  <cp:revision>1</cp:revision>
  <dcterms:created xsi:type="dcterms:W3CDTF">2022-09-23T16:55:00Z</dcterms:created>
  <dcterms:modified xsi:type="dcterms:W3CDTF">2022-09-23T17:16:00Z</dcterms:modified>
</cp:coreProperties>
</file>